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61BEAC67" w:rsidR="00647C8D" w:rsidRPr="002069E3" w:rsidRDefault="00647C8D" w:rsidP="00A11FFD">
            <w:pPr>
              <w:pStyle w:val="Sidhuvud"/>
              <w:spacing w:after="100"/>
              <w:rPr>
                <w:rFonts w:ascii="Arial" w:hAnsi="Arial" w:cs="Arial"/>
                <w:b w:val="0"/>
                <w:bCs/>
              </w:rPr>
            </w:pPr>
          </w:p>
        </w:tc>
        <w:tc>
          <w:tcPr>
            <w:tcW w:w="3969" w:type="dxa"/>
            <w:tcBorders>
              <w:bottom w:val="nil"/>
            </w:tcBorders>
            <w:shd w:val="clear" w:color="auto" w:fill="auto"/>
          </w:tcPr>
          <w:p w14:paraId="024D7F75" w14:textId="77777777" w:rsidR="00647C8D" w:rsidRDefault="00647C8D" w:rsidP="00A11FFD">
            <w:pPr>
              <w:pStyle w:val="Sidhuvud"/>
              <w:spacing w:after="100"/>
              <w:jc w:val="right"/>
            </w:pPr>
            <w:r>
              <w:rPr>
                <w:noProof/>
                <w:lang w:eastAsia="sv-SE"/>
              </w:rPr>
              <w:drawing>
                <wp:inline distT="0" distB="0" distL="0" distR="0" wp14:anchorId="3F6201AE" wp14:editId="7D7604CA">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A11FFD">
        <w:tc>
          <w:tcPr>
            <w:tcW w:w="5103" w:type="dxa"/>
            <w:tcBorders>
              <w:top w:val="nil"/>
              <w:bottom w:val="single" w:sz="4" w:space="0" w:color="auto"/>
            </w:tcBorders>
            <w:shd w:val="clear" w:color="auto" w:fill="auto"/>
          </w:tcPr>
          <w:p w14:paraId="378EA03D" w14:textId="77777777" w:rsidR="00647C8D" w:rsidRDefault="00647C8D" w:rsidP="00A11FFD">
            <w:pPr>
              <w:pStyle w:val="Sidhuvud"/>
              <w:spacing w:after="100"/>
            </w:pPr>
          </w:p>
        </w:tc>
        <w:tc>
          <w:tcPr>
            <w:tcW w:w="3969" w:type="dxa"/>
            <w:tcBorders>
              <w:bottom w:val="single" w:sz="4" w:space="0" w:color="auto"/>
            </w:tcBorders>
            <w:shd w:val="clear" w:color="auto" w:fill="auto"/>
          </w:tcPr>
          <w:p w14:paraId="75A61FA5" w14:textId="77777777" w:rsidR="00647C8D" w:rsidRDefault="00647C8D" w:rsidP="00A11FFD">
            <w:pPr>
              <w:pStyle w:val="Sidhuvud"/>
              <w:spacing w:after="100"/>
              <w:jc w:val="right"/>
            </w:pPr>
          </w:p>
        </w:tc>
      </w:tr>
    </w:tbl>
    <w:p w14:paraId="357534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7F4BA4" w14:paraId="1C698007" w14:textId="77777777" w:rsidTr="006A5E3E">
        <w:trPr>
          <w:trHeight w:val="1270"/>
        </w:trPr>
        <w:tc>
          <w:tcPr>
            <w:tcW w:w="3686" w:type="dxa"/>
            <w:shd w:val="clear" w:color="auto" w:fill="auto"/>
          </w:tcPr>
          <w:p w14:paraId="6C6AB60F" w14:textId="77777777" w:rsidR="00647C8D" w:rsidRPr="006A5E3E" w:rsidRDefault="00647C8D" w:rsidP="00A11FFD">
            <w:pPr>
              <w:pStyle w:val="Dokumentinfo"/>
              <w:rPr>
                <w:b/>
                <w:bCs/>
              </w:rPr>
            </w:pPr>
            <w:bookmarkStart w:id="0" w:name="_Toc478651876"/>
            <w:r w:rsidRPr="006A5E3E">
              <w:rPr>
                <w:b/>
                <w:bCs/>
              </w:rPr>
              <w:t>Tjänsteutlåtande</w:t>
            </w:r>
          </w:p>
          <w:p w14:paraId="54D75A47" w14:textId="19491AF1" w:rsidR="00647C8D" w:rsidRPr="000707CC" w:rsidRDefault="00647C8D" w:rsidP="00A11FFD">
            <w:pPr>
              <w:pStyle w:val="Dokumentinfo"/>
              <w:rPr>
                <w:b/>
              </w:rPr>
            </w:pPr>
            <w:r w:rsidRPr="000707CC">
              <w:t>Utfärdat</w:t>
            </w:r>
            <w:r w:rsidRPr="006A5E3E">
              <w:t xml:space="preserve"> </w:t>
            </w:r>
            <w:r w:rsidR="00E80431">
              <w:t>2024-12-10</w:t>
            </w:r>
          </w:p>
          <w:p w14:paraId="64AF474F" w14:textId="75EF5820" w:rsidR="00647C8D" w:rsidRPr="006A5E3E" w:rsidRDefault="002069E3" w:rsidP="00A11FFD">
            <w:pPr>
              <w:pStyle w:val="Dokumentinfo"/>
              <w:rPr>
                <w:b/>
                <w:bCs/>
              </w:rPr>
            </w:pPr>
            <w:r>
              <w:t>Ärende</w:t>
            </w:r>
            <w:r w:rsidR="00647C8D" w:rsidRPr="000707CC">
              <w:t>nummer</w:t>
            </w:r>
            <w:r w:rsidR="00647C8D" w:rsidRPr="006A5E3E">
              <w:t xml:space="preserve"> </w:t>
            </w:r>
            <w:r w:rsidR="00E80431">
              <w:t>SMF-2024-00095</w:t>
            </w:r>
          </w:p>
          <w:p w14:paraId="334F82A8" w14:textId="77777777" w:rsidR="00647C8D" w:rsidRPr="000707CC" w:rsidRDefault="00647C8D" w:rsidP="00A11FFD">
            <w:pPr>
              <w:pStyle w:val="Dokumentinfo"/>
              <w:rPr>
                <w:b/>
              </w:rPr>
            </w:pPr>
          </w:p>
        </w:tc>
        <w:tc>
          <w:tcPr>
            <w:tcW w:w="5386" w:type="dxa"/>
            <w:shd w:val="clear" w:color="auto" w:fill="auto"/>
          </w:tcPr>
          <w:p w14:paraId="0C544286" w14:textId="77777777" w:rsidR="00647C8D" w:rsidRPr="006A5E3E" w:rsidRDefault="00647C8D" w:rsidP="00A11FFD">
            <w:pPr>
              <w:pStyle w:val="Dokumentinfo"/>
            </w:pPr>
            <w:r w:rsidRPr="006A5E3E">
              <w:t>Handläggare</w:t>
            </w:r>
          </w:p>
          <w:p w14:paraId="1788B9D7" w14:textId="53C3B14C" w:rsidR="00647C8D" w:rsidRPr="003E2E1B" w:rsidRDefault="007F4BA4" w:rsidP="00A11FFD">
            <w:pPr>
              <w:pStyle w:val="Dokumentinfo"/>
            </w:pPr>
            <w:r w:rsidRPr="003E2E1B">
              <w:t>Lena Thylén</w:t>
            </w:r>
          </w:p>
          <w:p w14:paraId="734E388E" w14:textId="4282C18C" w:rsidR="00647C8D" w:rsidRPr="003E2E1B" w:rsidRDefault="00647C8D" w:rsidP="00A11FFD">
            <w:pPr>
              <w:pStyle w:val="Dokumentinfo"/>
            </w:pPr>
            <w:r w:rsidRPr="003E2E1B">
              <w:t>Telefon:</w:t>
            </w:r>
            <w:r w:rsidR="00957F41" w:rsidRPr="003E2E1B">
              <w:t xml:space="preserve"> </w:t>
            </w:r>
            <w:r w:rsidR="007F4BA4" w:rsidRPr="003E2E1B">
              <w:t>073</w:t>
            </w:r>
            <w:r w:rsidR="003E2E1B">
              <w:t>0</w:t>
            </w:r>
            <w:r w:rsidR="007F4BA4" w:rsidRPr="003E2E1B">
              <w:t>723027</w:t>
            </w:r>
          </w:p>
          <w:p w14:paraId="1ADC9C6B" w14:textId="0A5C7A22" w:rsidR="00647C8D" w:rsidRPr="003E2E1B" w:rsidRDefault="00647C8D" w:rsidP="00A11FFD">
            <w:pPr>
              <w:pStyle w:val="Dokumentinfo"/>
            </w:pPr>
            <w:r w:rsidRPr="003E2E1B">
              <w:t xml:space="preserve">E-post: </w:t>
            </w:r>
            <w:r w:rsidR="007F4BA4" w:rsidRPr="003E2E1B">
              <w:t>lena.thylen</w:t>
            </w:r>
            <w:r w:rsidR="00E80431" w:rsidRPr="003E2E1B">
              <w:t>@stadsmiljo.goteborg.se</w:t>
            </w:r>
          </w:p>
        </w:tc>
      </w:tr>
    </w:tbl>
    <w:bookmarkEnd w:id="0"/>
    <w:p w14:paraId="16614724" w14:textId="173661CA" w:rsidR="000046E1" w:rsidRPr="00FC0448" w:rsidRDefault="00E80431" w:rsidP="000046E1">
      <w:pPr>
        <w:pStyle w:val="Rubrik1"/>
      </w:pPr>
      <w:r>
        <w:t>Tjänsteutlåtande - Månadsuppföljning per november</w:t>
      </w:r>
      <w:r w:rsidR="003E2E1B">
        <w:t xml:space="preserve"> 2024</w:t>
      </w:r>
    </w:p>
    <w:p w14:paraId="2CF2E534" w14:textId="77777777" w:rsidR="000046E1" w:rsidRPr="00FC0448" w:rsidRDefault="000046E1" w:rsidP="000046E1">
      <w:pPr>
        <w:pStyle w:val="Rubrik2"/>
      </w:pPr>
      <w:r w:rsidRPr="00FC0448">
        <w:t>Förslag till beslut</w:t>
      </w:r>
    </w:p>
    <w:sdt>
      <w:sdtPr>
        <w:rPr>
          <w:rFonts w:eastAsiaTheme="majorEastAsia"/>
        </w:rPr>
        <w:alias w:val="Förslag"/>
        <w:tag w:val="Forslag"/>
        <w:id w:val="-1580823817"/>
        <w:placeholder>
          <w:docPart w:val="7A837671CD9A428EB23F1F8380CBE818"/>
        </w:placeholder>
      </w:sdtPr>
      <w:sdtEndPr/>
      <w:sdtContent>
        <w:p w14:paraId="798826F5" w14:textId="558C62AE" w:rsidR="000046E1" w:rsidRPr="006041AC" w:rsidRDefault="007F4BA4" w:rsidP="006041AC">
          <w:pPr>
            <w:pStyle w:val="Liststycke"/>
            <w:numPr>
              <w:ilvl w:val="0"/>
              <w:numId w:val="10"/>
            </w:numPr>
            <w:rPr>
              <w:bCs/>
            </w:rPr>
          </w:pPr>
          <w:r w:rsidRPr="006041AC">
            <w:rPr>
              <w:bCs/>
            </w:rPr>
            <w:t>Stadsmiljönämnden antecknar den skriftliga informationen</w:t>
          </w:r>
          <w:r w:rsidR="004B0B4F" w:rsidRPr="006041AC">
            <w:rPr>
              <w:bCs/>
            </w:rPr>
            <w:t xml:space="preserve"> gällande månadsuppföljning per november 2024</w:t>
          </w:r>
          <w:r w:rsidRPr="006041AC">
            <w:rPr>
              <w:bCs/>
            </w:rPr>
            <w:t xml:space="preserve"> till protokollet</w:t>
          </w:r>
          <w:r w:rsidR="006041AC">
            <w:rPr>
              <w:bCs/>
            </w:rPr>
            <w:br/>
          </w:r>
        </w:p>
        <w:p w14:paraId="2F9A346E" w14:textId="3CE4288C" w:rsidR="004B0B4F" w:rsidRPr="006041AC" w:rsidRDefault="004B0B4F" w:rsidP="006041AC">
          <w:pPr>
            <w:pStyle w:val="Liststycke"/>
            <w:numPr>
              <w:ilvl w:val="0"/>
              <w:numId w:val="10"/>
            </w:numPr>
            <w:rPr>
              <w:rFonts w:eastAsiaTheme="majorEastAsia"/>
            </w:rPr>
          </w:pPr>
          <w:r>
            <w:t>Stadsmiljönämnden avropar till förvaltningen</w:t>
          </w:r>
          <w:r w:rsidR="003B373B">
            <w:t xml:space="preserve"> för f</w:t>
          </w:r>
          <w:r>
            <w:t>unktionsstöd 88 436 kronor från kommuncentralt avsatta medel i budget 2024 avseende förstärkt kamerabevakning.</w:t>
          </w:r>
        </w:p>
      </w:sdtContent>
    </w:sdt>
    <w:p w14:paraId="774B81E8" w14:textId="77777777" w:rsidR="000046E1" w:rsidRPr="00FC0448" w:rsidRDefault="000046E1" w:rsidP="000046E1">
      <w:pPr>
        <w:pStyle w:val="Rubrik2"/>
      </w:pPr>
      <w:r w:rsidRPr="00FC0448">
        <w:t>Sammanfattning</w:t>
      </w:r>
    </w:p>
    <w:p w14:paraId="4F11E6EA" w14:textId="3E609B6E" w:rsidR="007F4BA4" w:rsidRDefault="007F4BA4" w:rsidP="007F4BA4">
      <w:pPr>
        <w:rPr>
          <w:rFonts w:eastAsiaTheme="majorEastAsia"/>
        </w:rPr>
      </w:pPr>
      <w:r w:rsidRPr="007F4BA4">
        <w:rPr>
          <w:rFonts w:eastAsiaTheme="majorEastAsia"/>
        </w:rPr>
        <w:t>Periodens utfall uppgår till +1</w:t>
      </w:r>
      <w:r>
        <w:rPr>
          <w:rFonts w:eastAsiaTheme="majorEastAsia"/>
        </w:rPr>
        <w:t>59,2</w:t>
      </w:r>
      <w:r w:rsidRPr="007F4BA4">
        <w:rPr>
          <w:rFonts w:eastAsiaTheme="majorEastAsia"/>
        </w:rPr>
        <w:t xml:space="preserve"> miljoner kronor och innebär en avvikelse mot periodiserad budget om +1</w:t>
      </w:r>
      <w:r>
        <w:rPr>
          <w:rFonts w:eastAsiaTheme="majorEastAsia"/>
        </w:rPr>
        <w:t>41,9</w:t>
      </w:r>
      <w:r w:rsidRPr="007F4BA4">
        <w:rPr>
          <w:rFonts w:eastAsiaTheme="majorEastAsia"/>
        </w:rPr>
        <w:t xml:space="preserve"> miljoner. Årsprognosen per </w:t>
      </w:r>
      <w:r>
        <w:rPr>
          <w:rFonts w:eastAsiaTheme="majorEastAsia"/>
        </w:rPr>
        <w:t xml:space="preserve">november </w:t>
      </w:r>
      <w:r w:rsidRPr="007F4BA4">
        <w:rPr>
          <w:rFonts w:eastAsiaTheme="majorEastAsia"/>
        </w:rPr>
        <w:t>är +</w:t>
      </w:r>
      <w:r>
        <w:rPr>
          <w:rFonts w:eastAsiaTheme="majorEastAsia"/>
        </w:rPr>
        <w:t>50</w:t>
      </w:r>
      <w:r w:rsidRPr="007F4BA4">
        <w:rPr>
          <w:rFonts w:eastAsiaTheme="majorEastAsia"/>
        </w:rPr>
        <w:t xml:space="preserve"> miljoner </w:t>
      </w:r>
      <w:r w:rsidRPr="00EC05E1">
        <w:rPr>
          <w:rFonts w:eastAsiaTheme="majorEastAsia"/>
        </w:rPr>
        <w:t>och avser återställa eget kapital.</w:t>
      </w:r>
      <w:r w:rsidRPr="0020140B">
        <w:rPr>
          <w:rFonts w:eastAsiaTheme="majorEastAsia"/>
        </w:rPr>
        <w:t xml:space="preserve"> </w:t>
      </w:r>
    </w:p>
    <w:p w14:paraId="1975BCF1" w14:textId="5B83DB96" w:rsidR="00A71BFF" w:rsidRPr="00FC0448" w:rsidRDefault="00A71BFF" w:rsidP="007F4BA4">
      <w:pPr>
        <w:rPr>
          <w:rFonts w:eastAsiaTheme="majorEastAsia"/>
        </w:rPr>
      </w:pPr>
      <w:r>
        <w:rPr>
          <w:rFonts w:eastAsiaTheme="majorEastAsia"/>
        </w:rPr>
        <w:t xml:space="preserve">Stadsmiljönämnden avropar kommuncentrala medel avseende kamerabevakning till förvaltningen för funktionsstöd. </w:t>
      </w:r>
    </w:p>
    <w:p w14:paraId="38EBF13F" w14:textId="77777777" w:rsidR="00990F9D" w:rsidRDefault="00990F9D" w:rsidP="00990F9D">
      <w:pPr>
        <w:pStyle w:val="Rubrik2"/>
      </w:pPr>
      <w:r>
        <w:t>Bedömning ur ekonomisk dimension</w:t>
      </w:r>
    </w:p>
    <w:p w14:paraId="166E6BCF" w14:textId="77777777" w:rsidR="007F4BA4" w:rsidRDefault="007F4BA4" w:rsidP="007F4BA4">
      <w:pPr>
        <w:rPr>
          <w:rFonts w:asciiTheme="majorHAnsi" w:eastAsiaTheme="majorEastAsia" w:hAnsiTheme="majorHAnsi" w:cstheme="majorBidi"/>
          <w:b/>
          <w:color w:val="262626" w:themeColor="text1" w:themeTint="D9"/>
          <w:sz w:val="27"/>
          <w:szCs w:val="28"/>
        </w:rPr>
      </w:pPr>
      <w:r>
        <w:t>D</w:t>
      </w:r>
      <w:r w:rsidRPr="0020140B">
        <w:t>elårsrapporten är av formell karaktär. Förvaltningen har inte funnit några särskilda aspekter på frågan utifrån denna dimension</w:t>
      </w:r>
    </w:p>
    <w:p w14:paraId="59C472D1" w14:textId="77777777" w:rsidR="00990F9D" w:rsidRDefault="00990F9D" w:rsidP="00990F9D">
      <w:pPr>
        <w:pStyle w:val="Rubrik2"/>
      </w:pPr>
      <w:r>
        <w:t>Bedömning ur ekologisk dimension</w:t>
      </w:r>
    </w:p>
    <w:p w14:paraId="468D55C5" w14:textId="77777777" w:rsidR="007F4BA4" w:rsidRDefault="007F4BA4" w:rsidP="007F4BA4">
      <w:pPr>
        <w:rPr>
          <w:rFonts w:asciiTheme="majorHAnsi" w:eastAsiaTheme="majorEastAsia" w:hAnsiTheme="majorHAnsi" w:cstheme="majorBidi"/>
          <w:b/>
          <w:color w:val="262626" w:themeColor="text1" w:themeTint="D9"/>
          <w:sz w:val="27"/>
          <w:szCs w:val="28"/>
        </w:rPr>
      </w:pPr>
      <w:r>
        <w:t>D</w:t>
      </w:r>
      <w:r w:rsidRPr="0020140B">
        <w:t>elårsrapporten är av formell karaktär. Förvaltningen har inte funnit några särskilda aspekter på frågan utifrån denna dimension</w:t>
      </w:r>
    </w:p>
    <w:p w14:paraId="7FDEC1AC" w14:textId="77777777" w:rsidR="00990F9D" w:rsidRDefault="00990F9D" w:rsidP="00990F9D">
      <w:pPr>
        <w:pStyle w:val="Rubrik2"/>
      </w:pPr>
      <w:r>
        <w:t>Bedömning ur social dimension</w:t>
      </w:r>
    </w:p>
    <w:p w14:paraId="4F9606DF" w14:textId="1C5242F9" w:rsidR="00990F9D" w:rsidRPr="007F4BA4" w:rsidRDefault="007F4BA4" w:rsidP="00990F9D">
      <w:pPr>
        <w:rPr>
          <w:rFonts w:asciiTheme="majorHAnsi" w:eastAsiaTheme="majorEastAsia" w:hAnsiTheme="majorHAnsi" w:cstheme="majorBidi"/>
          <w:b/>
          <w:color w:val="262626" w:themeColor="text1" w:themeTint="D9"/>
          <w:sz w:val="27"/>
          <w:szCs w:val="28"/>
        </w:rPr>
      </w:pPr>
      <w:r>
        <w:t>D</w:t>
      </w:r>
      <w:r w:rsidRPr="0020140B">
        <w:t>elårsrapporten är av formell karaktär. Förvaltningen har inte funnit några särskilda aspekter på frågan utifrån denna dimension</w:t>
      </w:r>
    </w:p>
    <w:p w14:paraId="76646F10" w14:textId="77777777" w:rsidR="000046E1" w:rsidRDefault="000046E1" w:rsidP="000046E1">
      <w:r>
        <w:br w:type="page"/>
      </w:r>
    </w:p>
    <w:p w14:paraId="0605B14D" w14:textId="77777777" w:rsidR="000046E1" w:rsidRDefault="000046E1" w:rsidP="000046E1">
      <w:pPr>
        <w:pStyle w:val="Rubrik2"/>
      </w:pPr>
      <w:r>
        <w:lastRenderedPageBreak/>
        <w:t>Ärendet </w:t>
      </w:r>
    </w:p>
    <w:p w14:paraId="4027DA03" w14:textId="140A150C" w:rsidR="007F4BA4" w:rsidRPr="007F6D67" w:rsidRDefault="007F4BA4" w:rsidP="007F4BA4">
      <w:pPr>
        <w:pStyle w:val="BodyText"/>
        <w:widowControl w:val="0"/>
        <w:spacing w:line="276" w:lineRule="auto"/>
        <w:rPr>
          <w:color w:val="auto"/>
        </w:rPr>
      </w:pPr>
      <w:r w:rsidRPr="007F6D67">
        <w:rPr>
          <w:color w:val="auto"/>
        </w:rPr>
        <w:t xml:space="preserve">Detta är en ekonomisk månadsuppföljning med utfall till och med </w:t>
      </w:r>
      <w:r w:rsidR="00EC05E1" w:rsidRPr="007F6D67">
        <w:rPr>
          <w:color w:val="auto"/>
        </w:rPr>
        <w:t>november</w:t>
      </w:r>
      <w:r w:rsidRPr="007F6D67">
        <w:rPr>
          <w:color w:val="auto"/>
        </w:rPr>
        <w:t xml:space="preserve"> och prognos för helåret. Informationen har rapporterats till stadsledningskontoret 2024-12-10. Nämnder och styrelser har ett eget ansvar att på eget initiativ rapportera till kommunstyrelsen och kommunfullmäktige utifrån väsentlighet och risk enligt riktlinjer för styrning, uppföljning och kontroll. </w:t>
      </w:r>
    </w:p>
    <w:p w14:paraId="1F849148" w14:textId="2A3901AF" w:rsidR="004B0B4F" w:rsidRPr="007F6D67" w:rsidRDefault="004B0B4F" w:rsidP="007F4BA4">
      <w:pPr>
        <w:pStyle w:val="BodyText"/>
        <w:widowControl w:val="0"/>
        <w:spacing w:line="276" w:lineRule="auto"/>
        <w:rPr>
          <w:color w:val="auto"/>
        </w:rPr>
      </w:pPr>
      <w:r w:rsidRPr="007F6D67">
        <w:rPr>
          <w:color w:val="auto"/>
        </w:rPr>
        <w:t xml:space="preserve">I budget 2024 finns kommuncentralt avsatta medel avseende kameraövervakning nämnden kan avropa. Förvaltningen för funktionsstöd kommer installera kameror på Selma Lagerlöfs torg till en kostnad om 88 436 kronor. </w:t>
      </w:r>
    </w:p>
    <w:p w14:paraId="67B0E56A" w14:textId="3D524E1E" w:rsidR="004B0B4F" w:rsidRDefault="004B0B4F" w:rsidP="007F4BA4">
      <w:pPr>
        <w:pStyle w:val="BodyText"/>
        <w:widowControl w:val="0"/>
        <w:spacing w:line="276" w:lineRule="auto"/>
        <w:rPr>
          <w:color w:val="auto"/>
          <w:sz w:val="24"/>
          <w:szCs w:val="24"/>
        </w:rPr>
      </w:pPr>
    </w:p>
    <w:p w14:paraId="476CB3CB" w14:textId="4B46557F" w:rsidR="000046E1" w:rsidRDefault="000046E1" w:rsidP="000046E1">
      <w:pPr>
        <w:pStyle w:val="Rubrik2"/>
      </w:pPr>
      <w:r>
        <w:t>Beskrivning av ärendet</w:t>
      </w:r>
    </w:p>
    <w:sdt>
      <w:sdtPr>
        <w:rPr>
          <w:rFonts w:eastAsiaTheme="majorEastAsia"/>
        </w:rPr>
        <w:alias w:val="Komplettering"/>
        <w:tag w:val="Komplettering"/>
        <w:id w:val="434096919"/>
        <w:placeholder>
          <w:docPart w:val="234683BF03464523A501D0C8C2AC7BC4"/>
        </w:placeholder>
      </w:sdtPr>
      <w:sdtEndPr/>
      <w:sdtContent>
        <w:p w14:paraId="00F0B528" w14:textId="150EBD30" w:rsidR="008616B5" w:rsidRPr="008616B5" w:rsidRDefault="008616B5" w:rsidP="007F4BA4">
          <w:pPr>
            <w:rPr>
              <w:b/>
              <w:bCs/>
            </w:rPr>
          </w:pPr>
          <w:r w:rsidRPr="008616B5">
            <w:rPr>
              <w:b/>
              <w:bCs/>
            </w:rPr>
            <w:t xml:space="preserve">Utfall till och med perioden </w:t>
          </w:r>
        </w:p>
        <w:p w14:paraId="3850A64D" w14:textId="2AA8BE11" w:rsidR="008616B5" w:rsidRDefault="008616B5" w:rsidP="007F4BA4">
          <w:r>
            <w:t xml:space="preserve">Periodens utfall uppgår till +159,2 miljoner kronor och innebär en avvikelse mot periodiserad budget om +141,9 miljoner. En jämförelse mot november förgående år är inte särskilt relevant med anledning av att förvaltningen då var nystartad och de ekonomiska flödena inte var säkrade. Nämnden har sedan föregående år också fått en ramförstärkning. </w:t>
          </w:r>
        </w:p>
        <w:p w14:paraId="2A24F212" w14:textId="65F8F0CD" w:rsidR="008616B5" w:rsidRDefault="008616B5" w:rsidP="007F4BA4">
          <w:r>
            <w:t xml:space="preserve">Intäkterna är 88,9 miljoner kronor högre för perioden än budgeterat. Främsta orsakerna till periodens avvikelse är: </w:t>
          </w:r>
        </w:p>
        <w:p w14:paraId="24159E82" w14:textId="6C8BF576" w:rsidR="008616B5" w:rsidRDefault="008616B5" w:rsidP="008616B5">
          <w:pPr>
            <w:pStyle w:val="Liststycke"/>
            <w:numPr>
              <w:ilvl w:val="0"/>
              <w:numId w:val="9"/>
            </w:numPr>
          </w:pPr>
          <w:r>
            <w:t xml:space="preserve">Uppdragsverksamhetens omslutning är högre än budgeterat + 36,0 mnkr </w:t>
          </w:r>
        </w:p>
        <w:p w14:paraId="2A3E35FD" w14:textId="5054A641" w:rsidR="008616B5" w:rsidRDefault="008616B5" w:rsidP="008616B5">
          <w:pPr>
            <w:pStyle w:val="Liststycke"/>
            <w:numPr>
              <w:ilvl w:val="0"/>
              <w:numId w:val="9"/>
            </w:numPr>
          </w:pPr>
          <w:r>
            <w:t xml:space="preserve">Myndighetsintäkter + 15,5 mnkr </w:t>
          </w:r>
        </w:p>
        <w:p w14:paraId="6BB59341" w14:textId="5A7AE527" w:rsidR="008616B5" w:rsidRDefault="008616B5" w:rsidP="008616B5">
          <w:pPr>
            <w:pStyle w:val="Liststycke"/>
            <w:numPr>
              <w:ilvl w:val="0"/>
              <w:numId w:val="9"/>
            </w:numPr>
          </w:pPr>
          <w:r>
            <w:t xml:space="preserve">För lågt budgeterade egenavgifter inom serviceresor + 12,0 mnkr </w:t>
          </w:r>
        </w:p>
        <w:p w14:paraId="0D908148" w14:textId="346E083B" w:rsidR="008616B5" w:rsidRDefault="008616B5" w:rsidP="008616B5">
          <w:pPr>
            <w:pStyle w:val="Liststycke"/>
            <w:numPr>
              <w:ilvl w:val="0"/>
              <w:numId w:val="8"/>
            </w:numPr>
          </w:pPr>
          <w:r>
            <w:t>Vites intäkter 2024 inom serviceresor +9,5 mnkr</w:t>
          </w:r>
        </w:p>
        <w:p w14:paraId="6BD87063" w14:textId="37B5E555" w:rsidR="008616B5" w:rsidRDefault="008616B5" w:rsidP="007F4BA4">
          <w:pPr>
            <w:pStyle w:val="Liststycke"/>
            <w:numPr>
              <w:ilvl w:val="0"/>
              <w:numId w:val="8"/>
            </w:numPr>
          </w:pPr>
          <w:r>
            <w:t>Starttillstånd och schaktåterställning högre än budget + 8,4 mnkr</w:t>
          </w:r>
        </w:p>
        <w:p w14:paraId="1DF8FEA9" w14:textId="379096D8" w:rsidR="008616B5" w:rsidRDefault="008616B5" w:rsidP="007F4BA4">
          <w:pPr>
            <w:pStyle w:val="Liststycke"/>
            <w:numPr>
              <w:ilvl w:val="0"/>
              <w:numId w:val="8"/>
            </w:numPr>
          </w:pPr>
          <w:r>
            <w:t xml:space="preserve">Högre avgifter inom frakttrafik och övriga verksamheter +3,5 mnkr </w:t>
          </w:r>
        </w:p>
        <w:p w14:paraId="7ABCBA9F" w14:textId="521183C4" w:rsidR="008616B5" w:rsidRDefault="008616B5" w:rsidP="007F4BA4">
          <w:r>
            <w:t xml:space="preserve">Verksamhetens kostnader är </w:t>
          </w:r>
          <w:r w:rsidR="00EC05E1">
            <w:t>77,1</w:t>
          </w:r>
          <w:r>
            <w:t xml:space="preserve"> miljoner kronor lägre för perioden än budgeterat. De främsta orsakerna till periodens avvikelse är: </w:t>
          </w:r>
        </w:p>
        <w:p w14:paraId="126D11DE" w14:textId="582BB163" w:rsidR="00EC05E1" w:rsidRDefault="008616B5" w:rsidP="007F4BA4">
          <w:pPr>
            <w:pStyle w:val="Liststycke"/>
            <w:numPr>
              <w:ilvl w:val="0"/>
              <w:numId w:val="8"/>
            </w:numPr>
          </w:pPr>
          <w:r>
            <w:t>Uppdragsverksamhetens omslutning är högre än budgeterat -3</w:t>
          </w:r>
          <w:r w:rsidR="00EC05E1">
            <w:t>6,0</w:t>
          </w:r>
          <w:r>
            <w:t xml:space="preserve"> mnkr</w:t>
          </w:r>
        </w:p>
        <w:p w14:paraId="2845F68F" w14:textId="2CEB1F8B" w:rsidR="00EC05E1" w:rsidRDefault="008616B5" w:rsidP="007F4BA4">
          <w:pPr>
            <w:pStyle w:val="Liststycke"/>
            <w:numPr>
              <w:ilvl w:val="0"/>
              <w:numId w:val="8"/>
            </w:numPr>
          </w:pPr>
          <w:r>
            <w:t>Kapitalkostnader + 1</w:t>
          </w:r>
          <w:r w:rsidR="00EC05E1">
            <w:t>5,5</w:t>
          </w:r>
          <w:r>
            <w:t xml:space="preserve"> mnkr</w:t>
          </w:r>
        </w:p>
        <w:p w14:paraId="213E397F" w14:textId="1F41160F" w:rsidR="00EC05E1" w:rsidRDefault="008616B5" w:rsidP="007F4BA4">
          <w:pPr>
            <w:pStyle w:val="Liststycke"/>
            <w:numPr>
              <w:ilvl w:val="0"/>
              <w:numId w:val="8"/>
            </w:numPr>
          </w:pPr>
          <w:r>
            <w:t xml:space="preserve"> Lägre elkostnader än budgeterat + 1</w:t>
          </w:r>
          <w:r w:rsidR="00EC05E1">
            <w:t>9,1</w:t>
          </w:r>
          <w:r>
            <w:t xml:space="preserve"> mnkr</w:t>
          </w:r>
        </w:p>
        <w:p w14:paraId="75DB5F13" w14:textId="1EF7F0ED" w:rsidR="00EC05E1" w:rsidRDefault="008616B5" w:rsidP="007F4BA4">
          <w:pPr>
            <w:pStyle w:val="Liststycke"/>
            <w:numPr>
              <w:ilvl w:val="0"/>
              <w:numId w:val="8"/>
            </w:numPr>
          </w:pPr>
          <w:r>
            <w:t xml:space="preserve"> Ej nyttjad reserv + 2</w:t>
          </w:r>
          <w:r w:rsidR="00EC05E1">
            <w:t>3</w:t>
          </w:r>
          <w:r>
            <w:t>,</w:t>
          </w:r>
          <w:r w:rsidR="00EC05E1">
            <w:t>1</w:t>
          </w:r>
          <w:r>
            <w:t xml:space="preserve"> mnkr</w:t>
          </w:r>
        </w:p>
        <w:p w14:paraId="64FE2E07" w14:textId="77777777" w:rsidR="00EC05E1" w:rsidRDefault="008616B5" w:rsidP="007F4BA4">
          <w:pPr>
            <w:pStyle w:val="Liststycke"/>
            <w:numPr>
              <w:ilvl w:val="0"/>
              <w:numId w:val="8"/>
            </w:numPr>
          </w:pPr>
          <w:r>
            <w:t xml:space="preserve">Övriga kostnader som faller ut senare på året än hur budgeten har periodiserats </w:t>
          </w:r>
        </w:p>
        <w:p w14:paraId="51FDBB18" w14:textId="0E54C45F" w:rsidR="008616B5" w:rsidRDefault="008616B5" w:rsidP="00EC05E1">
          <w:pPr>
            <w:pStyle w:val="Liststycke"/>
          </w:pPr>
          <w:r>
            <w:t xml:space="preserve">+ </w:t>
          </w:r>
          <w:r w:rsidR="00EC05E1">
            <w:t>55</w:t>
          </w:r>
          <w:r>
            <w:t xml:space="preserve"> mnkr </w:t>
          </w:r>
        </w:p>
        <w:p w14:paraId="41F11ABF" w14:textId="0F3707A9" w:rsidR="008616B5" w:rsidRDefault="008616B5" w:rsidP="007F4BA4">
          <w:r>
            <w:t>Kommunbidraget är 2</w:t>
          </w:r>
          <w:r w:rsidR="00EC05E1">
            <w:t>4,1</w:t>
          </w:r>
          <w:r>
            <w:t xml:space="preserve"> miljoner kronor lägre än periodiserad budget. Det förklaras av lägre rörligt kommunbidrag än periodiserad budget avseende kapitalkostnader -1</w:t>
          </w:r>
          <w:r w:rsidR="00EC05E1">
            <w:t>5,5</w:t>
          </w:r>
          <w:r>
            <w:t xml:space="preserve"> miljoner samt lägre avropade kommuncentrala medel än budgeterat -8,6 miljoner. Förvaltningen har under året avropat </w:t>
          </w:r>
          <w:r w:rsidR="00A71BFF">
            <w:t xml:space="preserve">kommuncentrala medel </w:t>
          </w:r>
          <w:r>
            <w:t xml:space="preserve">om 8,2 miljoner avseende </w:t>
          </w:r>
          <w:r w:rsidR="00A71BFF">
            <w:t>e</w:t>
          </w:r>
          <w:r>
            <w:t xml:space="preserve">nkelt avhjälpta hinder (6,2 mnkr), </w:t>
          </w:r>
          <w:r w:rsidR="00A71BFF">
            <w:t>c</w:t>
          </w:r>
          <w:r>
            <w:t xml:space="preserve">itysamverkan (1,0 mnkr), </w:t>
          </w:r>
          <w:r w:rsidR="00A71BFF">
            <w:t>k</w:t>
          </w:r>
          <w:r>
            <w:t>limatväxling (-0,7 mnkr) samt sommarlovs</w:t>
          </w:r>
          <w:r w:rsidR="00A71BFF">
            <w:t>kort</w:t>
          </w:r>
          <w:r>
            <w:t xml:space="preserve"> (1,7 mnkr).</w:t>
          </w:r>
        </w:p>
        <w:p w14:paraId="1A452E03" w14:textId="77777777" w:rsidR="003B373B" w:rsidRDefault="003B373B" w:rsidP="007F4BA4">
          <w:pPr>
            <w:rPr>
              <w:b/>
              <w:bCs/>
            </w:rPr>
          </w:pPr>
        </w:p>
        <w:p w14:paraId="360BB461" w14:textId="21C83FD2" w:rsidR="008616B5" w:rsidRPr="008616B5" w:rsidRDefault="008616B5" w:rsidP="007F4BA4">
          <w:pPr>
            <w:rPr>
              <w:b/>
              <w:bCs/>
            </w:rPr>
          </w:pPr>
          <w:r w:rsidRPr="008616B5">
            <w:rPr>
              <w:b/>
              <w:bCs/>
            </w:rPr>
            <w:lastRenderedPageBreak/>
            <w:t xml:space="preserve">Prognos </w:t>
          </w:r>
        </w:p>
        <w:p w14:paraId="60A72005" w14:textId="0876B4A4" w:rsidR="008616B5" w:rsidRDefault="008616B5" w:rsidP="007F4BA4">
          <w:r>
            <w:t xml:space="preserve">Stadsmiljönämndens årsprognos per </w:t>
          </w:r>
          <w:r w:rsidR="00B05037">
            <w:t>november</w:t>
          </w:r>
          <w:r>
            <w:t xml:space="preserve"> är + </w:t>
          </w:r>
          <w:r w:rsidR="00EC05E1">
            <w:t>50</w:t>
          </w:r>
          <w:r>
            <w:t xml:space="preserve"> miljoner kronor. </w:t>
          </w:r>
        </w:p>
        <w:p w14:paraId="674F57D3" w14:textId="2B029006" w:rsidR="008616B5" w:rsidRDefault="008616B5" w:rsidP="007F4BA4">
          <w:r>
            <w:t xml:space="preserve">Nämnden har en omfattande och differentierad verksamhet. Verksamheterna påverkas i olika utsträckning av yttre förhållanden, såsom väder och omvärld. Snabba förändringar med kort varsel kan ge stora ekonomiska effekter varför dessa är svåra att prognostisera. Ekonomisk ryckighet motverkar stabilitet och ger påverkan för ett strategiskt och långsiktigt arbete. I budget 2024 budgeterades en förvaltningsgemensam reserv för att stävja ekonomisk ryckighet. Förvaltningen är återhållsam då prognostiserat överskott i första hand ska återställa och om möjligt utöka eget kapital. </w:t>
          </w:r>
        </w:p>
        <w:p w14:paraId="22A020E7" w14:textId="77777777" w:rsidR="00EC05E1" w:rsidRDefault="00EC05E1" w:rsidP="00EC05E1">
          <w:r>
            <w:t>Förvaltningen ser ett möjligt prognosöverskott om cirka 100 miljoner kronor vilket förklaras främst av överskott till följd av upplösning av reserv, ökade myndighetsintäkter, lägre bränslekostnader, vakanta tjänster samt lägre kostnader för tillköp än budgeterat. I aktuell prognos om + 50 miljoner kronor har förvaltningen tagit höjd för vinterkostnader utöver normalår om 30 miljoner för årets sista veckor.</w:t>
          </w:r>
        </w:p>
        <w:p w14:paraId="741B155B" w14:textId="77777777" w:rsidR="00EC05E1" w:rsidRDefault="00EC05E1" w:rsidP="00EC05E1">
          <w:r>
            <w:t>Den nya förvaltningen arbetar med att inventera sitt bestånd för att säkra värdet i anläggningar. Förvaltningen har i enlighet med nämndens uppdrag att arbeta strategiskt för optimal resursallokering. Att implementera nya arbetssätt samt inventera befintligt bestånd är en investering som kräver resurser. Detta är ett arbete som kräver fortsatt ökade resurser en tid framöver. Förvaltningen bedömer att årets prognostiserade överskott hade gjort stor nytta för framdrift i verksamheten om det hade kunnat användas där, i stället för att återställa eget kapital och reserveras för vinterkostnader utöver normalvinter.</w:t>
          </w:r>
        </w:p>
        <w:p w14:paraId="08A5FBA5" w14:textId="77777777" w:rsidR="00EC05E1" w:rsidRDefault="00EC05E1" w:rsidP="00EC05E1">
          <w:r>
            <w:t>Omslutningen prognostiseras högre än budgeterat. Detta förklaras främst av att uppdragsverksamheten är högre än budgeterat. Den nya styrmodellen som utarbetas och implementeras är inte fullt framme varför avvikelser mot budget förekommer.</w:t>
          </w:r>
        </w:p>
        <w:p w14:paraId="28BEAC2F" w14:textId="3A9531D8" w:rsidR="007F4BA4" w:rsidRPr="008616B5" w:rsidRDefault="007F4BA4" w:rsidP="00EC05E1">
          <w:pPr>
            <w:rPr>
              <w:rFonts w:eastAsiaTheme="majorEastAsia"/>
              <w:b/>
              <w:bCs/>
            </w:rPr>
          </w:pPr>
          <w:r w:rsidRPr="008616B5">
            <w:rPr>
              <w:rFonts w:eastAsiaTheme="majorEastAsia"/>
              <w:b/>
              <w:bCs/>
            </w:rPr>
            <w:t>Resultatredovisning i sammandrag:</w:t>
          </w:r>
        </w:p>
        <w:tbl>
          <w:tblPr>
            <w:tblStyle w:val="Tabellrutnt"/>
            <w:tblOverlap w:val="never"/>
            <w:tblW w:w="6000" w:type="pct"/>
            <w:tblLook w:val="04A0" w:firstRow="1" w:lastRow="0" w:firstColumn="1" w:lastColumn="0" w:noHBand="0" w:noVBand="1"/>
          </w:tblPr>
          <w:tblGrid>
            <w:gridCol w:w="1630"/>
            <w:gridCol w:w="937"/>
            <w:gridCol w:w="937"/>
            <w:gridCol w:w="1118"/>
            <w:gridCol w:w="938"/>
            <w:gridCol w:w="1018"/>
            <w:gridCol w:w="1063"/>
            <w:gridCol w:w="938"/>
            <w:gridCol w:w="938"/>
          </w:tblGrid>
          <w:tr w:rsidR="00E729C9" w:rsidRPr="00E729C9" w14:paraId="27DEA276" w14:textId="77777777" w:rsidTr="00E729C9">
            <w:trPr>
              <w:cnfStyle w:val="100000000000" w:firstRow="1" w:lastRow="0" w:firstColumn="0" w:lastColumn="0" w:oddVBand="0" w:evenVBand="0" w:oddHBand="0" w:evenHBand="0" w:firstRowFirstColumn="0" w:firstRowLastColumn="0" w:lastRowFirstColumn="0" w:lastRowLastColumn="0"/>
            </w:trPr>
            <w:tc>
              <w:tcPr>
                <w:tcW w:w="846" w:type="pct"/>
                <w:tcBorders>
                  <w:top w:val="single" w:sz="4" w:space="0" w:color="auto"/>
                  <w:left w:val="single" w:sz="4" w:space="0" w:color="auto"/>
                  <w:bottom w:val="nil"/>
                  <w:right w:val="nil"/>
                </w:tcBorders>
                <w:shd w:val="clear" w:color="auto" w:fill="E5E5E5"/>
                <w:vAlign w:val="center"/>
              </w:tcPr>
              <w:p w14:paraId="35E05BD2" w14:textId="77777777" w:rsidR="007F4BA4" w:rsidRPr="00E729C9" w:rsidRDefault="007F4BA4" w:rsidP="00296968">
                <w:pPr>
                  <w:pStyle w:val="Tabellcell"/>
                  <w:rPr>
                    <w:sz w:val="20"/>
                    <w:szCs w:val="20"/>
                  </w:rPr>
                </w:pPr>
                <w:r w:rsidRPr="00E729C9">
                  <w:rPr>
                    <w:sz w:val="20"/>
                    <w:szCs w:val="20"/>
                  </w:rPr>
                  <w:t>mnkr</w:t>
                </w:r>
              </w:p>
            </w:tc>
            <w:tc>
              <w:tcPr>
                <w:tcW w:w="2071" w:type="pct"/>
                <w:gridSpan w:val="4"/>
                <w:tcBorders>
                  <w:top w:val="single" w:sz="4" w:space="0" w:color="auto"/>
                  <w:left w:val="nil"/>
                  <w:bottom w:val="single" w:sz="4" w:space="0" w:color="auto"/>
                  <w:right w:val="nil"/>
                </w:tcBorders>
                <w:shd w:val="clear" w:color="auto" w:fill="E5E5E5"/>
                <w:vAlign w:val="bottom"/>
              </w:tcPr>
              <w:p w14:paraId="7B2F4B78" w14:textId="77777777" w:rsidR="007F4BA4" w:rsidRPr="00E729C9" w:rsidRDefault="007F4BA4" w:rsidP="00296968">
                <w:pPr>
                  <w:pStyle w:val="Tabellcell"/>
                  <w:rPr>
                    <w:sz w:val="20"/>
                    <w:szCs w:val="20"/>
                  </w:rPr>
                </w:pPr>
                <w:r w:rsidRPr="00E729C9">
                  <w:rPr>
                    <w:sz w:val="20"/>
                    <w:szCs w:val="20"/>
                  </w:rPr>
                  <w:t>Period</w:t>
                </w:r>
              </w:p>
            </w:tc>
            <w:tc>
              <w:tcPr>
                <w:tcW w:w="2082" w:type="pct"/>
                <w:gridSpan w:val="4"/>
                <w:tcBorders>
                  <w:top w:val="single" w:sz="4" w:space="0" w:color="auto"/>
                  <w:left w:val="nil"/>
                  <w:bottom w:val="single" w:sz="4" w:space="0" w:color="auto"/>
                  <w:right w:val="nil"/>
                </w:tcBorders>
                <w:shd w:val="clear" w:color="auto" w:fill="B4B4B4"/>
                <w:vAlign w:val="bottom"/>
              </w:tcPr>
              <w:p w14:paraId="606F4609" w14:textId="77777777" w:rsidR="007F4BA4" w:rsidRPr="00E729C9" w:rsidRDefault="007F4BA4" w:rsidP="00296968">
                <w:pPr>
                  <w:pStyle w:val="Tabellcell"/>
                  <w:rPr>
                    <w:sz w:val="20"/>
                    <w:szCs w:val="20"/>
                  </w:rPr>
                </w:pPr>
                <w:r w:rsidRPr="00E729C9">
                  <w:rPr>
                    <w:sz w:val="20"/>
                    <w:szCs w:val="20"/>
                  </w:rPr>
                  <w:t>Helår</w:t>
                </w:r>
              </w:p>
            </w:tc>
          </w:tr>
          <w:tr w:rsidR="00E729C9" w:rsidRPr="00E729C9" w14:paraId="3D3B3231" w14:textId="77777777" w:rsidTr="00E729C9">
            <w:tc>
              <w:tcPr>
                <w:tcW w:w="846" w:type="pct"/>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14:paraId="230B3E85" w14:textId="77777777" w:rsidR="007F4BA4" w:rsidRPr="00E729C9" w:rsidRDefault="007F4BA4" w:rsidP="00296968">
                <w:pPr>
                  <w:pStyle w:val="Tabellcell"/>
                  <w:rPr>
                    <w:sz w:val="20"/>
                    <w:szCs w:val="20"/>
                  </w:rPr>
                </w:pPr>
              </w:p>
            </w:tc>
            <w:tc>
              <w:tcPr>
                <w:tcW w:w="495" w:type="pct"/>
                <w:tcBorders>
                  <w:top w:val="single" w:sz="4" w:space="0" w:color="auto"/>
                  <w:left w:val="nil"/>
                  <w:bottom w:val="single" w:sz="18" w:space="0" w:color="auto"/>
                  <w:right w:val="nil"/>
                </w:tcBorders>
                <w:shd w:val="clear" w:color="auto" w:fill="E5E5E5"/>
                <w:vAlign w:val="center"/>
              </w:tcPr>
              <w:p w14:paraId="016A29E5" w14:textId="77777777" w:rsidR="007F4BA4" w:rsidRPr="00E729C9" w:rsidRDefault="007F4BA4" w:rsidP="00296968">
                <w:pPr>
                  <w:pStyle w:val="Tabellcell"/>
                  <w:jc w:val="center"/>
                  <w:rPr>
                    <w:sz w:val="20"/>
                    <w:szCs w:val="20"/>
                  </w:rPr>
                </w:pPr>
                <w:r w:rsidRPr="00E729C9">
                  <w:rPr>
                    <w:sz w:val="20"/>
                    <w:szCs w:val="20"/>
                  </w:rPr>
                  <w:t>Utfall</w:t>
                </w:r>
              </w:p>
            </w:tc>
            <w:tc>
              <w:tcPr>
                <w:tcW w:w="495" w:type="pct"/>
                <w:tcBorders>
                  <w:top w:val="single" w:sz="4" w:space="0" w:color="auto"/>
                  <w:left w:val="nil"/>
                  <w:bottom w:val="single" w:sz="18" w:space="0" w:color="auto"/>
                  <w:right w:val="nil"/>
                </w:tcBorders>
                <w:shd w:val="clear" w:color="auto" w:fill="E5E5E5"/>
                <w:vAlign w:val="center"/>
              </w:tcPr>
              <w:p w14:paraId="60D5E4CC" w14:textId="77777777" w:rsidR="007F4BA4" w:rsidRPr="00E729C9" w:rsidRDefault="007F4BA4" w:rsidP="00296968">
                <w:pPr>
                  <w:pStyle w:val="Tabellcell"/>
                  <w:jc w:val="center"/>
                  <w:rPr>
                    <w:sz w:val="20"/>
                    <w:szCs w:val="20"/>
                  </w:rPr>
                </w:pPr>
                <w:r w:rsidRPr="00E729C9">
                  <w:rPr>
                    <w:sz w:val="20"/>
                    <w:szCs w:val="20"/>
                  </w:rPr>
                  <w:t>Budget</w:t>
                </w:r>
              </w:p>
            </w:tc>
            <w:tc>
              <w:tcPr>
                <w:tcW w:w="586" w:type="pct"/>
                <w:tcBorders>
                  <w:top w:val="single" w:sz="4" w:space="0" w:color="auto"/>
                  <w:left w:val="nil"/>
                  <w:bottom w:val="single" w:sz="18" w:space="0" w:color="auto"/>
                  <w:right w:val="nil"/>
                </w:tcBorders>
                <w:shd w:val="clear" w:color="auto" w:fill="E5E5E5"/>
                <w:vAlign w:val="center"/>
              </w:tcPr>
              <w:p w14:paraId="08B73F34" w14:textId="77777777" w:rsidR="007F4BA4" w:rsidRPr="00E729C9" w:rsidRDefault="007F4BA4" w:rsidP="00296968">
                <w:pPr>
                  <w:pStyle w:val="Tabellcell"/>
                  <w:jc w:val="center"/>
                  <w:rPr>
                    <w:sz w:val="20"/>
                    <w:szCs w:val="20"/>
                  </w:rPr>
                </w:pPr>
                <w:r w:rsidRPr="00E729C9">
                  <w:rPr>
                    <w:sz w:val="20"/>
                    <w:szCs w:val="20"/>
                  </w:rPr>
                  <w:t>Avvikelse</w:t>
                </w:r>
              </w:p>
            </w:tc>
            <w:tc>
              <w:tcPr>
                <w:tcW w:w="495" w:type="pct"/>
                <w:tcBorders>
                  <w:top w:val="single" w:sz="4" w:space="0" w:color="auto"/>
                  <w:left w:val="nil"/>
                  <w:bottom w:val="single" w:sz="18" w:space="0" w:color="auto"/>
                  <w:right w:val="nil"/>
                </w:tcBorders>
                <w:shd w:val="clear" w:color="auto" w:fill="E5E5E5"/>
                <w:vAlign w:val="center"/>
              </w:tcPr>
              <w:p w14:paraId="79006BB4" w14:textId="77777777" w:rsidR="007F4BA4" w:rsidRPr="00E729C9" w:rsidRDefault="007F4BA4" w:rsidP="00296968">
                <w:pPr>
                  <w:pStyle w:val="Tabellcell"/>
                  <w:jc w:val="center"/>
                  <w:rPr>
                    <w:sz w:val="20"/>
                    <w:szCs w:val="20"/>
                  </w:rPr>
                </w:pPr>
                <w:r w:rsidRPr="00E729C9">
                  <w:rPr>
                    <w:sz w:val="20"/>
                    <w:szCs w:val="20"/>
                  </w:rPr>
                  <w:t>Utfall fg år</w:t>
                </w:r>
              </w:p>
            </w:tc>
            <w:tc>
              <w:tcPr>
                <w:tcW w:w="535" w:type="pct"/>
                <w:tcBorders>
                  <w:top w:val="single" w:sz="4" w:space="0" w:color="auto"/>
                  <w:left w:val="nil"/>
                  <w:bottom w:val="single" w:sz="18" w:space="0" w:color="auto"/>
                  <w:right w:val="nil"/>
                </w:tcBorders>
                <w:shd w:val="clear" w:color="auto" w:fill="B4B4B4"/>
                <w:vAlign w:val="center"/>
              </w:tcPr>
              <w:p w14:paraId="2030D2FA" w14:textId="77777777" w:rsidR="007F4BA4" w:rsidRPr="00E729C9" w:rsidRDefault="007F4BA4" w:rsidP="00296968">
                <w:pPr>
                  <w:pStyle w:val="Tabellcell"/>
                  <w:jc w:val="center"/>
                  <w:rPr>
                    <w:sz w:val="20"/>
                    <w:szCs w:val="20"/>
                  </w:rPr>
                </w:pPr>
                <w:r w:rsidRPr="00E729C9">
                  <w:rPr>
                    <w:sz w:val="20"/>
                    <w:szCs w:val="20"/>
                  </w:rPr>
                  <w:t>Prognos</w:t>
                </w:r>
              </w:p>
            </w:tc>
            <w:tc>
              <w:tcPr>
                <w:tcW w:w="557" w:type="pct"/>
                <w:tcBorders>
                  <w:top w:val="single" w:sz="4" w:space="0" w:color="auto"/>
                  <w:left w:val="nil"/>
                  <w:bottom w:val="single" w:sz="18" w:space="0" w:color="auto"/>
                  <w:right w:val="nil"/>
                </w:tcBorders>
                <w:shd w:val="clear" w:color="auto" w:fill="B4B4B4"/>
                <w:vAlign w:val="center"/>
              </w:tcPr>
              <w:p w14:paraId="0C1A7A98" w14:textId="77777777" w:rsidR="007F4BA4" w:rsidRPr="00E729C9" w:rsidRDefault="007F4BA4" w:rsidP="00296968">
                <w:pPr>
                  <w:pStyle w:val="Tabellcell"/>
                  <w:jc w:val="center"/>
                  <w:rPr>
                    <w:sz w:val="20"/>
                    <w:szCs w:val="20"/>
                  </w:rPr>
                </w:pPr>
                <w:r w:rsidRPr="00E729C9">
                  <w:rPr>
                    <w:sz w:val="20"/>
                    <w:szCs w:val="20"/>
                  </w:rPr>
                  <w:t>(Fg prognos)</w:t>
                </w:r>
              </w:p>
            </w:tc>
            <w:tc>
              <w:tcPr>
                <w:tcW w:w="495" w:type="pct"/>
                <w:tcBorders>
                  <w:top w:val="single" w:sz="4" w:space="0" w:color="auto"/>
                  <w:left w:val="nil"/>
                  <w:bottom w:val="single" w:sz="18" w:space="0" w:color="auto"/>
                  <w:right w:val="nil"/>
                </w:tcBorders>
                <w:shd w:val="clear" w:color="auto" w:fill="B4B4B4"/>
                <w:vAlign w:val="center"/>
              </w:tcPr>
              <w:p w14:paraId="6EDDCE6A" w14:textId="77777777" w:rsidR="007F4BA4" w:rsidRPr="00E729C9" w:rsidRDefault="007F4BA4" w:rsidP="00296968">
                <w:pPr>
                  <w:pStyle w:val="Tabellcell"/>
                  <w:jc w:val="center"/>
                  <w:rPr>
                    <w:sz w:val="20"/>
                    <w:szCs w:val="20"/>
                  </w:rPr>
                </w:pPr>
                <w:r w:rsidRPr="00E729C9">
                  <w:rPr>
                    <w:sz w:val="20"/>
                    <w:szCs w:val="20"/>
                  </w:rPr>
                  <w:t>Budget</w:t>
                </w:r>
              </w:p>
            </w:tc>
            <w:tc>
              <w:tcPr>
                <w:tcW w:w="495" w:type="pct"/>
                <w:tcBorders>
                  <w:top w:val="single" w:sz="4" w:space="0" w:color="auto"/>
                  <w:left w:val="nil"/>
                  <w:bottom w:val="single" w:sz="18" w:space="0" w:color="auto"/>
                  <w:right w:val="single" w:sz="4" w:space="0" w:color="auto"/>
                </w:tcBorders>
                <w:shd w:val="clear" w:color="auto" w:fill="B4B4B4"/>
                <w:vAlign w:val="center"/>
              </w:tcPr>
              <w:p w14:paraId="4E44B75C" w14:textId="77777777" w:rsidR="007F4BA4" w:rsidRPr="00E729C9" w:rsidRDefault="007F4BA4" w:rsidP="00296968">
                <w:pPr>
                  <w:pStyle w:val="Tabellcell"/>
                  <w:jc w:val="center"/>
                  <w:rPr>
                    <w:sz w:val="20"/>
                    <w:szCs w:val="20"/>
                  </w:rPr>
                </w:pPr>
                <w:r w:rsidRPr="00E729C9">
                  <w:rPr>
                    <w:sz w:val="20"/>
                    <w:szCs w:val="20"/>
                  </w:rPr>
                  <w:t>Bokslut fg år</w:t>
                </w:r>
              </w:p>
            </w:tc>
          </w:tr>
          <w:tr w:rsidR="00E729C9" w:rsidRPr="00E729C9" w14:paraId="2FC1A8D3" w14:textId="77777777" w:rsidTr="003E2E1B">
            <w:trPr>
              <w:trHeight w:val="567"/>
            </w:trPr>
            <w:tc>
              <w:tcPr>
                <w:tcW w:w="846" w:type="pct"/>
                <w:tcBorders>
                  <w:top w:val="single" w:sz="18" w:space="0" w:color="auto"/>
                  <w:left w:val="single" w:sz="4" w:space="0" w:color="auto"/>
                  <w:bottom w:val="single" w:sz="4" w:space="0" w:color="auto"/>
                  <w:right w:val="single" w:sz="4" w:space="0" w:color="auto"/>
                </w:tcBorders>
                <w:shd w:val="clear" w:color="auto" w:fill="FFFFFF"/>
                <w:vAlign w:val="center"/>
              </w:tcPr>
              <w:p w14:paraId="23015F9D" w14:textId="77777777" w:rsidR="007F4BA4" w:rsidRPr="00E729C9" w:rsidRDefault="007F4BA4" w:rsidP="00296968">
                <w:pPr>
                  <w:pStyle w:val="Tabellcell"/>
                  <w:rPr>
                    <w:sz w:val="20"/>
                    <w:szCs w:val="20"/>
                  </w:rPr>
                </w:pPr>
                <w:r w:rsidRPr="00E729C9">
                  <w:rPr>
                    <w:sz w:val="20"/>
                    <w:szCs w:val="20"/>
                  </w:rPr>
                  <w:t>Intäkter</w:t>
                </w:r>
              </w:p>
            </w:tc>
            <w:tc>
              <w:tcPr>
                <w:tcW w:w="495" w:type="pct"/>
                <w:tcBorders>
                  <w:top w:val="single" w:sz="18" w:space="0" w:color="auto"/>
                  <w:left w:val="single" w:sz="4" w:space="0" w:color="auto"/>
                  <w:bottom w:val="single" w:sz="4" w:space="0" w:color="auto"/>
                  <w:right w:val="single" w:sz="4" w:space="0" w:color="auto"/>
                </w:tcBorders>
                <w:shd w:val="clear" w:color="auto" w:fill="FFFFFF"/>
                <w:vAlign w:val="center"/>
              </w:tcPr>
              <w:p w14:paraId="06BDCD66" w14:textId="77777777" w:rsidR="007F4BA4" w:rsidRPr="00E729C9" w:rsidRDefault="007F4BA4" w:rsidP="00296968">
                <w:pPr>
                  <w:pStyle w:val="Tabellcell"/>
                  <w:jc w:val="right"/>
                </w:pPr>
                <w:r w:rsidRPr="00E729C9">
                  <w:t>1 577,2</w:t>
                </w:r>
              </w:p>
            </w:tc>
            <w:tc>
              <w:tcPr>
                <w:tcW w:w="495" w:type="pct"/>
                <w:tcBorders>
                  <w:top w:val="single" w:sz="18" w:space="0" w:color="auto"/>
                  <w:left w:val="single" w:sz="4" w:space="0" w:color="auto"/>
                  <w:bottom w:val="single" w:sz="4" w:space="0" w:color="auto"/>
                  <w:right w:val="single" w:sz="4" w:space="0" w:color="auto"/>
                </w:tcBorders>
                <w:shd w:val="clear" w:color="auto" w:fill="FFFFFF"/>
                <w:vAlign w:val="center"/>
              </w:tcPr>
              <w:p w14:paraId="3A7D80D8" w14:textId="77777777" w:rsidR="007F4BA4" w:rsidRPr="00E729C9" w:rsidRDefault="007F4BA4" w:rsidP="00296968">
                <w:pPr>
                  <w:pStyle w:val="Tabellcell"/>
                  <w:jc w:val="right"/>
                </w:pPr>
                <w:r w:rsidRPr="00E729C9">
                  <w:t>1 488,3</w:t>
                </w:r>
              </w:p>
            </w:tc>
            <w:tc>
              <w:tcPr>
                <w:tcW w:w="586" w:type="pct"/>
                <w:tcBorders>
                  <w:top w:val="single" w:sz="18" w:space="0" w:color="auto"/>
                  <w:left w:val="single" w:sz="4" w:space="0" w:color="auto"/>
                  <w:bottom w:val="single" w:sz="4" w:space="0" w:color="auto"/>
                  <w:right w:val="single" w:sz="4" w:space="0" w:color="auto"/>
                </w:tcBorders>
                <w:shd w:val="clear" w:color="auto" w:fill="FFFFFF"/>
                <w:vAlign w:val="center"/>
              </w:tcPr>
              <w:p w14:paraId="7BC4C08C" w14:textId="77777777" w:rsidR="007F4BA4" w:rsidRPr="00E729C9" w:rsidRDefault="007F4BA4" w:rsidP="00296968">
                <w:pPr>
                  <w:pStyle w:val="Tabellcell"/>
                  <w:jc w:val="right"/>
                </w:pPr>
                <w:r w:rsidRPr="00E729C9">
                  <w:t>88,9</w:t>
                </w:r>
              </w:p>
            </w:tc>
            <w:tc>
              <w:tcPr>
                <w:tcW w:w="495" w:type="pct"/>
                <w:tcBorders>
                  <w:top w:val="single" w:sz="18" w:space="0" w:color="auto"/>
                  <w:left w:val="single" w:sz="4" w:space="0" w:color="auto"/>
                  <w:bottom w:val="single" w:sz="4" w:space="0" w:color="auto"/>
                  <w:right w:val="single" w:sz="4" w:space="0" w:color="auto"/>
                </w:tcBorders>
                <w:shd w:val="clear" w:color="auto" w:fill="FFFFFF"/>
                <w:vAlign w:val="center"/>
              </w:tcPr>
              <w:p w14:paraId="461BB225" w14:textId="77777777" w:rsidR="007F4BA4" w:rsidRPr="00E729C9" w:rsidRDefault="007F4BA4" w:rsidP="00296968">
                <w:pPr>
                  <w:pStyle w:val="Tabellcell"/>
                  <w:jc w:val="right"/>
                </w:pPr>
                <w:r w:rsidRPr="00E729C9">
                  <w:t>1 439,2</w:t>
                </w:r>
              </w:p>
            </w:tc>
            <w:tc>
              <w:tcPr>
                <w:tcW w:w="535" w:type="pct"/>
                <w:tcBorders>
                  <w:top w:val="single" w:sz="18" w:space="0" w:color="auto"/>
                  <w:left w:val="single" w:sz="4" w:space="0" w:color="auto"/>
                  <w:bottom w:val="single" w:sz="4" w:space="0" w:color="auto"/>
                  <w:right w:val="single" w:sz="4" w:space="0" w:color="auto"/>
                </w:tcBorders>
                <w:shd w:val="clear" w:color="auto" w:fill="FFFFFF"/>
                <w:vAlign w:val="center"/>
              </w:tcPr>
              <w:p w14:paraId="2F8E15E0" w14:textId="77777777" w:rsidR="007F4BA4" w:rsidRPr="00E729C9" w:rsidRDefault="007F4BA4" w:rsidP="00296968">
                <w:pPr>
                  <w:pStyle w:val="Tabellcell"/>
                  <w:jc w:val="right"/>
                </w:pPr>
                <w:r w:rsidRPr="00E729C9">
                  <w:t>1 713,1</w:t>
                </w:r>
              </w:p>
            </w:tc>
            <w:tc>
              <w:tcPr>
                <w:tcW w:w="557" w:type="pct"/>
                <w:tcBorders>
                  <w:top w:val="single" w:sz="18" w:space="0" w:color="auto"/>
                  <w:left w:val="single" w:sz="4" w:space="0" w:color="auto"/>
                  <w:bottom w:val="single" w:sz="4" w:space="0" w:color="auto"/>
                  <w:right w:val="single" w:sz="4" w:space="0" w:color="auto"/>
                </w:tcBorders>
                <w:shd w:val="clear" w:color="auto" w:fill="B4B4B4"/>
                <w:vAlign w:val="center"/>
              </w:tcPr>
              <w:p w14:paraId="78EA0372" w14:textId="77777777" w:rsidR="007F4BA4" w:rsidRPr="00E729C9" w:rsidRDefault="007F4BA4" w:rsidP="00296968">
                <w:pPr>
                  <w:pStyle w:val="Tabellcell"/>
                  <w:jc w:val="right"/>
                </w:pPr>
                <w:r w:rsidRPr="00E729C9">
                  <w:t>1 713,1</w:t>
                </w:r>
              </w:p>
            </w:tc>
            <w:tc>
              <w:tcPr>
                <w:tcW w:w="495" w:type="pct"/>
                <w:tcBorders>
                  <w:top w:val="single" w:sz="18" w:space="0" w:color="auto"/>
                  <w:left w:val="single" w:sz="4" w:space="0" w:color="auto"/>
                  <w:bottom w:val="single" w:sz="4" w:space="0" w:color="auto"/>
                  <w:right w:val="single" w:sz="4" w:space="0" w:color="auto"/>
                </w:tcBorders>
                <w:shd w:val="clear" w:color="auto" w:fill="FFFFFF"/>
                <w:vAlign w:val="center"/>
              </w:tcPr>
              <w:p w14:paraId="44931AC9" w14:textId="77777777" w:rsidR="007F4BA4" w:rsidRPr="00E729C9" w:rsidRDefault="007F4BA4" w:rsidP="00296968">
                <w:pPr>
                  <w:pStyle w:val="Tabellcell"/>
                  <w:jc w:val="right"/>
                </w:pPr>
                <w:r w:rsidRPr="00E729C9">
                  <w:t>1 632,6</w:t>
                </w:r>
              </w:p>
            </w:tc>
            <w:tc>
              <w:tcPr>
                <w:tcW w:w="495" w:type="pct"/>
                <w:tcBorders>
                  <w:top w:val="single" w:sz="18" w:space="0" w:color="auto"/>
                  <w:left w:val="single" w:sz="4" w:space="0" w:color="auto"/>
                  <w:bottom w:val="single" w:sz="4" w:space="0" w:color="auto"/>
                  <w:right w:val="single" w:sz="4" w:space="0" w:color="auto"/>
                </w:tcBorders>
                <w:shd w:val="clear" w:color="auto" w:fill="FFFFFF"/>
                <w:vAlign w:val="center"/>
              </w:tcPr>
              <w:p w14:paraId="5A7759EC" w14:textId="77777777" w:rsidR="007F4BA4" w:rsidRPr="00E729C9" w:rsidRDefault="007F4BA4" w:rsidP="00296968">
                <w:pPr>
                  <w:pStyle w:val="Tabellcell"/>
                  <w:jc w:val="right"/>
                </w:pPr>
                <w:r w:rsidRPr="00E729C9">
                  <w:t>1 646,7</w:t>
                </w:r>
              </w:p>
            </w:tc>
          </w:tr>
          <w:tr w:rsidR="00E729C9" w:rsidRPr="00E729C9" w14:paraId="725B8F71" w14:textId="77777777" w:rsidTr="003E2E1B">
            <w:trPr>
              <w:trHeight w:val="567"/>
            </w:trPr>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3766452" w14:textId="77777777" w:rsidR="007F4BA4" w:rsidRPr="00E729C9" w:rsidRDefault="007F4BA4" w:rsidP="00296968">
                <w:pPr>
                  <w:pStyle w:val="Tabellcell"/>
                  <w:rPr>
                    <w:sz w:val="20"/>
                    <w:szCs w:val="20"/>
                  </w:rPr>
                </w:pPr>
                <w:r w:rsidRPr="00E729C9">
                  <w:rPr>
                    <w:sz w:val="20"/>
                    <w:szCs w:val="20"/>
                  </w:rPr>
                  <w:t>Kostnader</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5FF36412" w14:textId="77777777" w:rsidR="007F4BA4" w:rsidRPr="00E729C9" w:rsidRDefault="007F4BA4" w:rsidP="00296968">
                <w:pPr>
                  <w:pStyle w:val="Tabellcell"/>
                  <w:jc w:val="right"/>
                </w:pPr>
                <w:r w:rsidRPr="00E729C9">
                  <w:t>-3 425,4</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1752EEEB" w14:textId="77777777" w:rsidR="007F4BA4" w:rsidRPr="00E729C9" w:rsidRDefault="007F4BA4" w:rsidP="00296968">
                <w:pPr>
                  <w:pStyle w:val="Tabellcell"/>
                  <w:jc w:val="right"/>
                </w:pPr>
                <w:r w:rsidRPr="00E729C9">
                  <w:t>-3 502,5</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63A461D2" w14:textId="77777777" w:rsidR="007F4BA4" w:rsidRPr="00E729C9" w:rsidRDefault="007F4BA4" w:rsidP="00296968">
                <w:pPr>
                  <w:pStyle w:val="Tabellcell"/>
                  <w:jc w:val="right"/>
                </w:pPr>
                <w:r w:rsidRPr="00E729C9">
                  <w:t>77,1</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344994D3" w14:textId="77777777" w:rsidR="007F4BA4" w:rsidRPr="00E729C9" w:rsidRDefault="007F4BA4" w:rsidP="00296968">
                <w:pPr>
                  <w:pStyle w:val="Tabellcell"/>
                  <w:jc w:val="right"/>
                </w:pPr>
                <w:r w:rsidRPr="00E729C9">
                  <w:t>-3 092,3</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5DF2CD6" w14:textId="77777777" w:rsidR="007F4BA4" w:rsidRPr="00E729C9" w:rsidRDefault="007F4BA4" w:rsidP="00296968">
                <w:pPr>
                  <w:pStyle w:val="Tabellcell"/>
                  <w:jc w:val="right"/>
                </w:pPr>
                <w:r w:rsidRPr="00E729C9">
                  <w:t>-3 880,6</w:t>
                </w:r>
              </w:p>
            </w:tc>
            <w:tc>
              <w:tcPr>
                <w:tcW w:w="557" w:type="pct"/>
                <w:tcBorders>
                  <w:top w:val="single" w:sz="4" w:space="0" w:color="auto"/>
                  <w:left w:val="single" w:sz="4" w:space="0" w:color="auto"/>
                  <w:bottom w:val="single" w:sz="4" w:space="0" w:color="auto"/>
                  <w:right w:val="single" w:sz="4" w:space="0" w:color="auto"/>
                </w:tcBorders>
                <w:shd w:val="clear" w:color="auto" w:fill="B4B4B4"/>
                <w:vAlign w:val="center"/>
              </w:tcPr>
              <w:p w14:paraId="5DC7BA79" w14:textId="77777777" w:rsidR="007F4BA4" w:rsidRPr="00E729C9" w:rsidRDefault="007F4BA4" w:rsidP="00296968">
                <w:pPr>
                  <w:pStyle w:val="Tabellcell"/>
                  <w:jc w:val="right"/>
                </w:pPr>
                <w:r w:rsidRPr="00E729C9">
                  <w:t>-3 885,6</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52499EA7" w14:textId="77777777" w:rsidR="007F4BA4" w:rsidRPr="00E729C9" w:rsidRDefault="007F4BA4" w:rsidP="00296968">
                <w:pPr>
                  <w:pStyle w:val="Tabellcell"/>
                  <w:jc w:val="right"/>
                </w:pPr>
                <w:r w:rsidRPr="00E729C9">
                  <w:t>-3 847,3</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6D585FAE" w14:textId="77777777" w:rsidR="007F4BA4" w:rsidRPr="00E729C9" w:rsidRDefault="007F4BA4" w:rsidP="00296968">
                <w:pPr>
                  <w:pStyle w:val="Tabellcell"/>
                  <w:jc w:val="right"/>
                </w:pPr>
                <w:r w:rsidRPr="00E729C9">
                  <w:t>-3 537,8</w:t>
                </w:r>
              </w:p>
            </w:tc>
          </w:tr>
          <w:tr w:rsidR="00E729C9" w:rsidRPr="00E729C9" w14:paraId="618143CC" w14:textId="77777777" w:rsidTr="003E2E1B">
            <w:trPr>
              <w:trHeight w:val="567"/>
            </w:trPr>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D9ADE5B" w14:textId="77777777" w:rsidR="007F4BA4" w:rsidRPr="00E729C9" w:rsidRDefault="007F4BA4" w:rsidP="00296968">
                <w:pPr>
                  <w:pStyle w:val="Tabellcell"/>
                  <w:rPr>
                    <w:sz w:val="20"/>
                    <w:szCs w:val="20"/>
                  </w:rPr>
                </w:pPr>
                <w:r w:rsidRPr="00E729C9">
                  <w:rPr>
                    <w:sz w:val="20"/>
                    <w:szCs w:val="20"/>
                  </w:rPr>
                  <w:t>Kommunbidrag</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79513015" w14:textId="77777777" w:rsidR="007F4BA4" w:rsidRPr="00E729C9" w:rsidRDefault="007F4BA4" w:rsidP="00296968">
                <w:pPr>
                  <w:pStyle w:val="Tabellcell"/>
                  <w:jc w:val="right"/>
                </w:pPr>
                <w:r w:rsidRPr="00E729C9">
                  <w:t>2 007,4</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3AAE8C77" w14:textId="77777777" w:rsidR="007F4BA4" w:rsidRPr="00E729C9" w:rsidRDefault="007F4BA4" w:rsidP="00296968">
                <w:pPr>
                  <w:pStyle w:val="Tabellcell"/>
                  <w:jc w:val="right"/>
                </w:pPr>
                <w:r w:rsidRPr="00E729C9">
                  <w:t>2 031,5</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554F8E5E" w14:textId="77777777" w:rsidR="007F4BA4" w:rsidRPr="00E729C9" w:rsidRDefault="007F4BA4" w:rsidP="00296968">
                <w:pPr>
                  <w:pStyle w:val="Tabellcell"/>
                  <w:jc w:val="right"/>
                </w:pPr>
                <w:r w:rsidRPr="00E729C9">
                  <w:t>-24,1</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68157D85" w14:textId="77777777" w:rsidR="007F4BA4" w:rsidRPr="00E729C9" w:rsidRDefault="007F4BA4" w:rsidP="00296968">
                <w:pPr>
                  <w:pStyle w:val="Tabellcell"/>
                  <w:jc w:val="right"/>
                </w:pPr>
                <w:r w:rsidRPr="00E729C9">
                  <w:t>1 714,0</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1B7D3B33" w14:textId="77777777" w:rsidR="007F4BA4" w:rsidRPr="00E729C9" w:rsidRDefault="007F4BA4" w:rsidP="00296968">
                <w:pPr>
                  <w:pStyle w:val="Tabellcell"/>
                  <w:jc w:val="right"/>
                </w:pPr>
                <w:r w:rsidRPr="00E729C9">
                  <w:t>2 217,5</w:t>
                </w:r>
              </w:p>
            </w:tc>
            <w:tc>
              <w:tcPr>
                <w:tcW w:w="557" w:type="pct"/>
                <w:tcBorders>
                  <w:top w:val="single" w:sz="4" w:space="0" w:color="auto"/>
                  <w:left w:val="single" w:sz="4" w:space="0" w:color="auto"/>
                  <w:bottom w:val="single" w:sz="4" w:space="0" w:color="auto"/>
                  <w:right w:val="single" w:sz="4" w:space="0" w:color="auto"/>
                </w:tcBorders>
                <w:shd w:val="clear" w:color="auto" w:fill="B4B4B4"/>
                <w:vAlign w:val="center"/>
              </w:tcPr>
              <w:p w14:paraId="2E54CBE0" w14:textId="77777777" w:rsidR="007F4BA4" w:rsidRPr="00E729C9" w:rsidRDefault="007F4BA4" w:rsidP="00296968">
                <w:pPr>
                  <w:pStyle w:val="Tabellcell"/>
                  <w:jc w:val="right"/>
                </w:pPr>
                <w:r w:rsidRPr="00E729C9">
                  <w:t>2 217,5</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061E1AA2" w14:textId="77777777" w:rsidR="007F4BA4" w:rsidRPr="00E729C9" w:rsidRDefault="007F4BA4" w:rsidP="00296968">
                <w:pPr>
                  <w:pStyle w:val="Tabellcell"/>
                  <w:jc w:val="right"/>
                </w:pPr>
                <w:r w:rsidRPr="00E729C9">
                  <w:t>2 214,7</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4BF06C8D" w14:textId="77777777" w:rsidR="007F4BA4" w:rsidRPr="00E729C9" w:rsidRDefault="007F4BA4" w:rsidP="00296968">
                <w:pPr>
                  <w:pStyle w:val="Tabellcell"/>
                  <w:jc w:val="right"/>
                </w:pPr>
                <w:r w:rsidRPr="00E729C9">
                  <w:t>1 777,2</w:t>
                </w:r>
              </w:p>
            </w:tc>
          </w:tr>
          <w:tr w:rsidR="00E729C9" w:rsidRPr="00E729C9" w14:paraId="2B802B72" w14:textId="77777777" w:rsidTr="003E2E1B">
            <w:trPr>
              <w:trHeight w:val="567"/>
            </w:trPr>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712DC80" w14:textId="77777777" w:rsidR="007F4BA4" w:rsidRPr="00E729C9" w:rsidRDefault="007F4BA4" w:rsidP="00296968">
                <w:pPr>
                  <w:pStyle w:val="Tabellcell"/>
                  <w:rPr>
                    <w:sz w:val="20"/>
                    <w:szCs w:val="20"/>
                  </w:rPr>
                </w:pPr>
                <w:r w:rsidRPr="00E729C9">
                  <w:rPr>
                    <w:b/>
                    <w:sz w:val="20"/>
                    <w:szCs w:val="20"/>
                  </w:rPr>
                  <w:t>Resultat</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69A1E9D9" w14:textId="77777777" w:rsidR="007F4BA4" w:rsidRPr="00E729C9" w:rsidRDefault="007F4BA4" w:rsidP="00296968">
                <w:pPr>
                  <w:pStyle w:val="Tabellcell"/>
                  <w:jc w:val="right"/>
                  <w:rPr>
                    <w:sz w:val="20"/>
                    <w:szCs w:val="20"/>
                  </w:rPr>
                </w:pPr>
                <w:r w:rsidRPr="00E729C9">
                  <w:rPr>
                    <w:b/>
                    <w:sz w:val="20"/>
                    <w:szCs w:val="20"/>
                  </w:rPr>
                  <w:t>159,2</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03951163" w14:textId="77777777" w:rsidR="007F4BA4" w:rsidRPr="00E729C9" w:rsidRDefault="007F4BA4" w:rsidP="00296968">
                <w:pPr>
                  <w:pStyle w:val="Tabellcell"/>
                  <w:jc w:val="right"/>
                  <w:rPr>
                    <w:sz w:val="20"/>
                    <w:szCs w:val="20"/>
                  </w:rPr>
                </w:pPr>
                <w:r w:rsidRPr="00E729C9">
                  <w:rPr>
                    <w:b/>
                    <w:sz w:val="20"/>
                    <w:szCs w:val="20"/>
                  </w:rPr>
                  <w:t>17,3</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08C8B77E" w14:textId="77777777" w:rsidR="007F4BA4" w:rsidRPr="00E729C9" w:rsidRDefault="007F4BA4" w:rsidP="00296968">
                <w:pPr>
                  <w:pStyle w:val="Tabellcell"/>
                  <w:jc w:val="right"/>
                  <w:rPr>
                    <w:sz w:val="20"/>
                    <w:szCs w:val="20"/>
                  </w:rPr>
                </w:pPr>
                <w:r w:rsidRPr="00E729C9">
                  <w:rPr>
                    <w:b/>
                    <w:sz w:val="20"/>
                    <w:szCs w:val="20"/>
                  </w:rPr>
                  <w:t>141,9</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17341CEA" w14:textId="77777777" w:rsidR="007F4BA4" w:rsidRPr="00E729C9" w:rsidRDefault="007F4BA4" w:rsidP="00296968">
                <w:pPr>
                  <w:pStyle w:val="Tabellcell"/>
                  <w:jc w:val="right"/>
                  <w:rPr>
                    <w:sz w:val="20"/>
                    <w:szCs w:val="20"/>
                  </w:rPr>
                </w:pPr>
                <w:r w:rsidRPr="00E729C9">
                  <w:rPr>
                    <w:b/>
                    <w:sz w:val="20"/>
                    <w:szCs w:val="20"/>
                  </w:rPr>
                  <w:t>60,9</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45460311" w14:textId="77777777" w:rsidR="007F4BA4" w:rsidRPr="00E729C9" w:rsidRDefault="007F4BA4" w:rsidP="00296968">
                <w:pPr>
                  <w:pStyle w:val="Tabellcell"/>
                  <w:jc w:val="right"/>
                  <w:rPr>
                    <w:sz w:val="20"/>
                    <w:szCs w:val="20"/>
                  </w:rPr>
                </w:pPr>
                <w:r w:rsidRPr="00E729C9">
                  <w:rPr>
                    <w:b/>
                    <w:sz w:val="20"/>
                    <w:szCs w:val="20"/>
                  </w:rPr>
                  <w:t>50,0</w:t>
                </w:r>
              </w:p>
            </w:tc>
            <w:tc>
              <w:tcPr>
                <w:tcW w:w="557" w:type="pct"/>
                <w:tcBorders>
                  <w:top w:val="single" w:sz="4" w:space="0" w:color="auto"/>
                  <w:left w:val="single" w:sz="4" w:space="0" w:color="auto"/>
                  <w:bottom w:val="single" w:sz="4" w:space="0" w:color="auto"/>
                  <w:right w:val="single" w:sz="4" w:space="0" w:color="auto"/>
                </w:tcBorders>
                <w:shd w:val="clear" w:color="auto" w:fill="B4B4B4"/>
                <w:vAlign w:val="center"/>
              </w:tcPr>
              <w:p w14:paraId="29F076A6" w14:textId="77777777" w:rsidR="007F4BA4" w:rsidRPr="00E729C9" w:rsidRDefault="007F4BA4" w:rsidP="00296968">
                <w:pPr>
                  <w:pStyle w:val="Tabellcell"/>
                  <w:jc w:val="right"/>
                  <w:rPr>
                    <w:sz w:val="20"/>
                    <w:szCs w:val="20"/>
                  </w:rPr>
                </w:pPr>
                <w:r w:rsidRPr="00E729C9">
                  <w:rPr>
                    <w:b/>
                    <w:sz w:val="20"/>
                    <w:szCs w:val="20"/>
                  </w:rPr>
                  <w:t>45,0</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09047F1F" w14:textId="77777777" w:rsidR="007F4BA4" w:rsidRPr="00E729C9" w:rsidRDefault="007F4BA4" w:rsidP="00296968">
                <w:pPr>
                  <w:pStyle w:val="Tabellcell"/>
                  <w:jc w:val="right"/>
                  <w:rPr>
                    <w:sz w:val="20"/>
                    <w:szCs w:val="20"/>
                  </w:rPr>
                </w:pPr>
                <w:r w:rsidRPr="00E729C9">
                  <w:rPr>
                    <w:b/>
                    <w:sz w:val="20"/>
                    <w:szCs w:val="20"/>
                  </w:rPr>
                  <w:t>0,0</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0C8D8050" w14:textId="77777777" w:rsidR="007F4BA4" w:rsidRPr="00E729C9" w:rsidRDefault="007F4BA4" w:rsidP="00296968">
                <w:pPr>
                  <w:pStyle w:val="Tabellcell"/>
                  <w:jc w:val="right"/>
                  <w:rPr>
                    <w:sz w:val="20"/>
                    <w:szCs w:val="20"/>
                  </w:rPr>
                </w:pPr>
                <w:r w:rsidRPr="00E729C9">
                  <w:rPr>
                    <w:b/>
                    <w:sz w:val="20"/>
                    <w:szCs w:val="20"/>
                  </w:rPr>
                  <w:t>-113,9</w:t>
                </w:r>
              </w:p>
            </w:tc>
          </w:tr>
        </w:tbl>
        <w:p w14:paraId="45354771" w14:textId="26D3DC7F" w:rsidR="00EF09B7" w:rsidRDefault="001F5F37" w:rsidP="007F4BA4">
          <w:pPr>
            <w:rPr>
              <w:rFonts w:eastAsiaTheme="majorEastAsia"/>
            </w:rPr>
          </w:pPr>
        </w:p>
      </w:sdtContent>
    </w:sdt>
    <w:p w14:paraId="644AB99C" w14:textId="77777777" w:rsidR="00EF09B7" w:rsidRPr="00EF09B7" w:rsidRDefault="00EF09B7" w:rsidP="00EF09B7"/>
    <w:p w14:paraId="327009BA" w14:textId="31556B96" w:rsidR="000046E1" w:rsidRDefault="000046E1" w:rsidP="000046E1">
      <w:pPr>
        <w:pStyle w:val="Rubrik2"/>
      </w:pPr>
      <w:r>
        <w:t>Förvaltningens bedömning</w:t>
      </w:r>
    </w:p>
    <w:p w14:paraId="0CC30AC4" w14:textId="746C7924" w:rsidR="000046E1" w:rsidRDefault="007F6D67" w:rsidP="000046E1">
      <w:r>
        <w:t>Förvaltningen är återhållsam då prognostiserat överskott i första hand ska återställa eget kapital, som minskat till följd av föregående års underskott. Förvaltningen ser ett möjligt prognosöverskott om cirka 100 miljoner kronor men redovisar av försiktighet</w:t>
      </w:r>
      <w:r w:rsidR="00A71BFF">
        <w:t>,</w:t>
      </w:r>
      <w:r>
        <w:t xml:space="preserve"> </w:t>
      </w:r>
      <w:r w:rsidR="00A71BFF">
        <w:t xml:space="preserve">med anledning av risk för högre vinterkostnader, </w:t>
      </w:r>
      <w:r>
        <w:t>en prognos om 50 miljoner.</w:t>
      </w:r>
    </w:p>
    <w:p w14:paraId="714FCD62" w14:textId="77777777" w:rsidR="00A71BFF" w:rsidRPr="007B7987" w:rsidRDefault="00A71BFF"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180C6AA" w14:textId="5FA937A1" w:rsidR="000046E1" w:rsidRPr="000046E1" w:rsidRDefault="007F4BA4" w:rsidP="000046E1">
            <w:pPr>
              <w:spacing w:afterAutospacing="0"/>
              <w:rPr>
                <w:b w:val="0"/>
              </w:rPr>
            </w:pPr>
            <w:r>
              <w:rPr>
                <w:b w:val="0"/>
              </w:rPr>
              <w:t>Lena Thylén</w:t>
            </w:r>
          </w:p>
          <w:p w14:paraId="09D4E704" w14:textId="77777777" w:rsidR="00203A27" w:rsidRDefault="00203A27" w:rsidP="000046E1">
            <w:pPr>
              <w:spacing w:afterAutospacing="0"/>
            </w:pPr>
          </w:p>
          <w:p w14:paraId="4F1C2540" w14:textId="72A475D4" w:rsidR="000046E1" w:rsidRPr="000046E1" w:rsidRDefault="007F4BA4" w:rsidP="000046E1">
            <w:pPr>
              <w:spacing w:afterAutospacing="0"/>
              <w:rPr>
                <w:b w:val="0"/>
              </w:rPr>
            </w:pPr>
            <w:r>
              <w:rPr>
                <w:b w:val="0"/>
              </w:rPr>
              <w:t>Avdelningschef ekonomi</w:t>
            </w:r>
          </w:p>
          <w:p w14:paraId="05CDE3AB" w14:textId="47AF4D0F" w:rsidR="000046E1" w:rsidRPr="000046E1" w:rsidRDefault="000046E1" w:rsidP="000046E1">
            <w:pPr>
              <w:spacing w:afterAutospacing="0"/>
              <w:rPr>
                <w:b w:val="0"/>
              </w:rPr>
            </w:pPr>
          </w:p>
        </w:tc>
        <w:tc>
          <w:tcPr>
            <w:tcW w:w="5386" w:type="dxa"/>
            <w:shd w:val="clear" w:color="auto" w:fill="auto"/>
          </w:tcPr>
          <w:p w14:paraId="46A3BB50" w14:textId="72D7D148" w:rsidR="000046E1" w:rsidRPr="000046E1" w:rsidRDefault="00203A27" w:rsidP="000046E1">
            <w:pPr>
              <w:spacing w:afterAutospacing="0"/>
              <w:rPr>
                <w:b w:val="0"/>
              </w:rPr>
            </w:pPr>
            <w:r>
              <w:rPr>
                <w:b w:val="0"/>
              </w:rPr>
              <w:t>Anders Ramsby</w:t>
            </w:r>
          </w:p>
          <w:p w14:paraId="1255BBA4" w14:textId="77777777" w:rsidR="000046E1" w:rsidRPr="000046E1" w:rsidRDefault="000046E1" w:rsidP="000046E1">
            <w:pPr>
              <w:spacing w:afterAutospacing="0"/>
              <w:rPr>
                <w:b w:val="0"/>
              </w:rPr>
            </w:pPr>
          </w:p>
          <w:p w14:paraId="7E0C324E" w14:textId="65C15960" w:rsidR="000046E1" w:rsidRPr="000046E1" w:rsidRDefault="00203A27" w:rsidP="000046E1">
            <w:pPr>
              <w:spacing w:afterAutospacing="0"/>
              <w:rPr>
                <w:b w:val="0"/>
              </w:rPr>
            </w:pPr>
            <w:r>
              <w:rPr>
                <w:b w:val="0"/>
              </w:rPr>
              <w:t>Förvaltningsdirektör</w:t>
            </w:r>
          </w:p>
          <w:p w14:paraId="34F2CF3A" w14:textId="77777777" w:rsidR="000046E1" w:rsidRPr="000046E1" w:rsidRDefault="000046E1" w:rsidP="000046E1">
            <w:pPr>
              <w:spacing w:afterAutospacing="0"/>
              <w:rPr>
                <w:b w:val="0"/>
              </w:rPr>
            </w:pPr>
          </w:p>
        </w:tc>
      </w:tr>
    </w:tbl>
    <w:p w14:paraId="67478FBC" w14:textId="77777777" w:rsidR="000046E1" w:rsidRPr="00A53D27" w:rsidRDefault="000046E1" w:rsidP="000046E1">
      <w:pPr>
        <w:tabs>
          <w:tab w:val="left" w:pos="2500"/>
        </w:tabs>
        <w:rPr>
          <w:lang w:val="en-US"/>
        </w:rPr>
      </w:pPr>
    </w:p>
    <w:sectPr w:rsidR="000046E1" w:rsidRPr="00A53D27"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3AE6" w14:textId="77777777" w:rsidR="00364124" w:rsidRDefault="00364124" w:rsidP="00BF282B">
      <w:pPr>
        <w:spacing w:after="0" w:line="240" w:lineRule="auto"/>
      </w:pPr>
      <w:r>
        <w:separator/>
      </w:r>
    </w:p>
  </w:endnote>
  <w:endnote w:type="continuationSeparator" w:id="0">
    <w:p w14:paraId="7ADDF4AC" w14:textId="77777777" w:rsidR="00364124" w:rsidRDefault="00364124"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2382" w14:textId="77777777" w:rsidR="00AE6F51" w:rsidRDefault="00AE6F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A11FFD">
      <w:tc>
        <w:tcPr>
          <w:tcW w:w="7938" w:type="dxa"/>
        </w:tcPr>
        <w:p w14:paraId="5C30CBF2" w14:textId="267BB879" w:rsidR="00647C8D" w:rsidRPr="00841810" w:rsidRDefault="0023736E" w:rsidP="00647C8D">
          <w:pPr>
            <w:pStyle w:val="Sidfot"/>
          </w:pPr>
          <w:r w:rsidRPr="0023736E">
            <w:t>Göteborgs Stad</w:t>
          </w:r>
          <w:r>
            <w:t xml:space="preserve"> </w:t>
          </w:r>
          <w:r w:rsidRPr="0023736E">
            <w:t>, tjänsteutlåtande</w:t>
          </w:r>
        </w:p>
      </w:tc>
      <w:tc>
        <w:tcPr>
          <w:tcW w:w="1134" w:type="dxa"/>
        </w:tcPr>
        <w:p w14:paraId="570CEBF6" w14:textId="468C951A"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1F5F37">
            <w:fldChar w:fldCharType="begin"/>
          </w:r>
          <w:r w:rsidR="001F5F37">
            <w:instrText xml:space="preserve"> NUMPAGES   \* MERGEFORMAT </w:instrText>
          </w:r>
          <w:r w:rsidR="001F5F37">
            <w:fldChar w:fldCharType="separate"/>
          </w:r>
          <w:r w:rsidR="00EF09B7">
            <w:rPr>
              <w:noProof/>
            </w:rPr>
            <w:t>4</w:t>
          </w:r>
          <w:r w:rsidR="001F5F37">
            <w:rPr>
              <w:noProof/>
            </w:rPr>
            <w:fldChar w:fldCharType="end"/>
          </w:r>
          <w:r w:rsidRPr="008117AD">
            <w:t>)</w:t>
          </w:r>
        </w:p>
      </w:tc>
    </w:tr>
  </w:tbl>
  <w:p w14:paraId="18BD5537"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A11FFD">
      <w:tc>
        <w:tcPr>
          <w:tcW w:w="7938" w:type="dxa"/>
        </w:tcPr>
        <w:p w14:paraId="30D0F72C" w14:textId="7360C050" w:rsidR="00647C8D" w:rsidRPr="00841810" w:rsidRDefault="00AE6F51" w:rsidP="00647C8D">
          <w:pPr>
            <w:pStyle w:val="Sidfot"/>
          </w:pPr>
          <w:r w:rsidRPr="00AE6F51">
            <w:t>Göteborgs Stad</w:t>
          </w:r>
          <w:r w:rsidR="002069E3">
            <w:t xml:space="preserve"> </w:t>
          </w:r>
          <w:r w:rsidRPr="00AE6F51">
            <w:t>, tjänsteutlåtande</w:t>
          </w:r>
        </w:p>
      </w:tc>
      <w:tc>
        <w:tcPr>
          <w:tcW w:w="1134" w:type="dxa"/>
        </w:tcPr>
        <w:p w14:paraId="5BA71DB0" w14:textId="2793DEB5"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1F5F37">
            <w:fldChar w:fldCharType="begin"/>
          </w:r>
          <w:r w:rsidR="001F5F37">
            <w:instrText xml:space="preserve"> NUMPAGES   \* MERGEFORMAT </w:instrText>
          </w:r>
          <w:r w:rsidR="001F5F37">
            <w:fldChar w:fldCharType="separate"/>
          </w:r>
          <w:r w:rsidR="00EF09B7">
            <w:rPr>
              <w:noProof/>
            </w:rPr>
            <w:t>4</w:t>
          </w:r>
          <w:r w:rsidR="001F5F37">
            <w:rPr>
              <w:noProof/>
            </w:rPr>
            <w:fldChar w:fldCharType="end"/>
          </w:r>
          <w:r w:rsidRPr="008117AD">
            <w:t>)</w:t>
          </w:r>
        </w:p>
      </w:tc>
    </w:tr>
  </w:tbl>
  <w:p w14:paraId="450BF7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06B8" w14:textId="77777777" w:rsidR="00364124" w:rsidRDefault="00364124" w:rsidP="00BF282B">
      <w:pPr>
        <w:spacing w:after="0" w:line="240" w:lineRule="auto"/>
      </w:pPr>
      <w:r>
        <w:separator/>
      </w:r>
    </w:p>
  </w:footnote>
  <w:footnote w:type="continuationSeparator" w:id="0">
    <w:p w14:paraId="0760A62C" w14:textId="77777777" w:rsidR="00364124" w:rsidRDefault="00364124"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184B" w14:textId="77777777" w:rsidR="00AE6F51" w:rsidRDefault="00AE6F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1BBB" w14:textId="77777777" w:rsidR="00AE6F51" w:rsidRDefault="00AE6F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C88" w14:textId="77777777" w:rsidR="00AE6F51" w:rsidRDefault="00AE6F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394686"/>
    <w:multiLevelType w:val="hybridMultilevel"/>
    <w:tmpl w:val="964C7FFE"/>
    <w:lvl w:ilvl="0" w:tplc="A8BA66C8">
      <w:start w:val="5"/>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4A8D441B"/>
    <w:multiLevelType w:val="hybridMultilevel"/>
    <w:tmpl w:val="5434BDDA"/>
    <w:lvl w:ilvl="0" w:tplc="2A26465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AFB6FC9"/>
    <w:multiLevelType w:val="hybridMultilevel"/>
    <w:tmpl w:val="93C2DD5A"/>
    <w:lvl w:ilvl="0" w:tplc="0FFA4AD0">
      <w:start w:val="5"/>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21585403">
    <w:abstractNumId w:val="5"/>
  </w:num>
  <w:num w:numId="2" w16cid:durableId="657415437">
    <w:abstractNumId w:val="2"/>
  </w:num>
  <w:num w:numId="3" w16cid:durableId="1294946703">
    <w:abstractNumId w:val="7"/>
  </w:num>
  <w:num w:numId="4" w16cid:durableId="1409693377">
    <w:abstractNumId w:val="3"/>
  </w:num>
  <w:num w:numId="5" w16cid:durableId="1280063211">
    <w:abstractNumId w:val="9"/>
  </w:num>
  <w:num w:numId="6" w16cid:durableId="300965909">
    <w:abstractNumId w:val="6"/>
  </w:num>
  <w:num w:numId="7" w16cid:durableId="22947136">
    <w:abstractNumId w:val="0"/>
  </w:num>
  <w:num w:numId="8" w16cid:durableId="2145194944">
    <w:abstractNumId w:val="1"/>
  </w:num>
  <w:num w:numId="9" w16cid:durableId="905803487">
    <w:abstractNumId w:val="8"/>
  </w:num>
  <w:num w:numId="10" w16cid:durableId="1467040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erica.bjorklund@stadsmiljo.goteborg.se"/>
    <w:docVar w:name="anvandare_txt_Fritext1" w:val="«AnvFritext1»"/>
    <w:docVar w:name="anvandare_txt_Namn" w:val="Erica Björklund"/>
    <w:docVar w:name="anvandare_txt_Telnr" w:val="None"/>
    <w:docVar w:name="DokumentArkiv_Diarium" w:val="SMF"/>
    <w:docVar w:name="DokumentArkiv_FileInApprovalProcess" w:val="1"/>
    <w:docVar w:name="DokumentArkiv_NameService" w:val="sn060aw01.staden.gotheborg.net"/>
    <w:docVar w:name="DokumentArkiv_SecurityDomain" w:val="Ciceron"/>
    <w:docVar w:name="WithoutMacro" w:val="1"/>
    <w:docVar w:name="Word.SaveToFolderInCiceronButton" w:val="1"/>
  </w:docVars>
  <w:rsids>
    <w:rsidRoot w:val="008B0468"/>
    <w:rsid w:val="000046E1"/>
    <w:rsid w:val="000303BA"/>
    <w:rsid w:val="000346F7"/>
    <w:rsid w:val="00042339"/>
    <w:rsid w:val="000443BA"/>
    <w:rsid w:val="00055077"/>
    <w:rsid w:val="000707CC"/>
    <w:rsid w:val="00091831"/>
    <w:rsid w:val="000A510D"/>
    <w:rsid w:val="000B37CA"/>
    <w:rsid w:val="000C68BA"/>
    <w:rsid w:val="000E01AC"/>
    <w:rsid w:val="000F2B85"/>
    <w:rsid w:val="000F2C86"/>
    <w:rsid w:val="001018E6"/>
    <w:rsid w:val="00102D74"/>
    <w:rsid w:val="0011061F"/>
    <w:rsid w:val="0011381D"/>
    <w:rsid w:val="00120342"/>
    <w:rsid w:val="0012181D"/>
    <w:rsid w:val="00142FEF"/>
    <w:rsid w:val="0016454D"/>
    <w:rsid w:val="00173F0C"/>
    <w:rsid w:val="00176B89"/>
    <w:rsid w:val="00196AFA"/>
    <w:rsid w:val="001B3FF4"/>
    <w:rsid w:val="001B7AA7"/>
    <w:rsid w:val="001C17B8"/>
    <w:rsid w:val="001C2218"/>
    <w:rsid w:val="001D645F"/>
    <w:rsid w:val="001F5F37"/>
    <w:rsid w:val="00203A27"/>
    <w:rsid w:val="002069E3"/>
    <w:rsid w:val="0022273D"/>
    <w:rsid w:val="00223069"/>
    <w:rsid w:val="0023736E"/>
    <w:rsid w:val="002408F9"/>
    <w:rsid w:val="00241F59"/>
    <w:rsid w:val="00250893"/>
    <w:rsid w:val="00255D45"/>
    <w:rsid w:val="00257F49"/>
    <w:rsid w:val="00261E5E"/>
    <w:rsid w:val="002715E0"/>
    <w:rsid w:val="002A3932"/>
    <w:rsid w:val="002A4CCB"/>
    <w:rsid w:val="003164EC"/>
    <w:rsid w:val="003167D6"/>
    <w:rsid w:val="00330EF3"/>
    <w:rsid w:val="00332A7F"/>
    <w:rsid w:val="003413FA"/>
    <w:rsid w:val="00350FEF"/>
    <w:rsid w:val="00354622"/>
    <w:rsid w:val="00364124"/>
    <w:rsid w:val="00372CB4"/>
    <w:rsid w:val="003B373B"/>
    <w:rsid w:val="003B485C"/>
    <w:rsid w:val="003E2E1B"/>
    <w:rsid w:val="003E2E59"/>
    <w:rsid w:val="003F4EF3"/>
    <w:rsid w:val="003F7BE3"/>
    <w:rsid w:val="00414E79"/>
    <w:rsid w:val="00425B76"/>
    <w:rsid w:val="00440D30"/>
    <w:rsid w:val="00473C11"/>
    <w:rsid w:val="004765DE"/>
    <w:rsid w:val="004A5252"/>
    <w:rsid w:val="004B0B4F"/>
    <w:rsid w:val="004B287C"/>
    <w:rsid w:val="004C0571"/>
    <w:rsid w:val="004C78B0"/>
    <w:rsid w:val="00521790"/>
    <w:rsid w:val="00560A1E"/>
    <w:rsid w:val="005729A0"/>
    <w:rsid w:val="00583D4C"/>
    <w:rsid w:val="00597ACB"/>
    <w:rsid w:val="005C15F9"/>
    <w:rsid w:val="005E6622"/>
    <w:rsid w:val="005F0B7D"/>
    <w:rsid w:val="005F5390"/>
    <w:rsid w:val="00603751"/>
    <w:rsid w:val="006041AC"/>
    <w:rsid w:val="006127D3"/>
    <w:rsid w:val="00613965"/>
    <w:rsid w:val="00636FF2"/>
    <w:rsid w:val="00647C8D"/>
    <w:rsid w:val="00690A7F"/>
    <w:rsid w:val="006A0653"/>
    <w:rsid w:val="006A5E3E"/>
    <w:rsid w:val="006D0D87"/>
    <w:rsid w:val="006E3230"/>
    <w:rsid w:val="006E618B"/>
    <w:rsid w:val="006E6C56"/>
    <w:rsid w:val="00703A6D"/>
    <w:rsid w:val="00712F04"/>
    <w:rsid w:val="00720B05"/>
    <w:rsid w:val="007556E2"/>
    <w:rsid w:val="00766929"/>
    <w:rsid w:val="00770200"/>
    <w:rsid w:val="007868CB"/>
    <w:rsid w:val="007E234D"/>
    <w:rsid w:val="007F4BA4"/>
    <w:rsid w:val="007F6D67"/>
    <w:rsid w:val="00831E91"/>
    <w:rsid w:val="008338A9"/>
    <w:rsid w:val="00836CB8"/>
    <w:rsid w:val="00842FC8"/>
    <w:rsid w:val="00857B4F"/>
    <w:rsid w:val="008616B5"/>
    <w:rsid w:val="008760F6"/>
    <w:rsid w:val="00893F89"/>
    <w:rsid w:val="008B0468"/>
    <w:rsid w:val="008F3D74"/>
    <w:rsid w:val="009003DD"/>
    <w:rsid w:val="00913FD3"/>
    <w:rsid w:val="00923739"/>
    <w:rsid w:val="009433F3"/>
    <w:rsid w:val="00957F41"/>
    <w:rsid w:val="00970E3C"/>
    <w:rsid w:val="00975C63"/>
    <w:rsid w:val="00983FD7"/>
    <w:rsid w:val="00985ACB"/>
    <w:rsid w:val="00990F9D"/>
    <w:rsid w:val="009B4E2A"/>
    <w:rsid w:val="009D4D5C"/>
    <w:rsid w:val="009D5125"/>
    <w:rsid w:val="009E6A12"/>
    <w:rsid w:val="00A074B5"/>
    <w:rsid w:val="00A345C1"/>
    <w:rsid w:val="00A3668C"/>
    <w:rsid w:val="00A47AD9"/>
    <w:rsid w:val="00A56894"/>
    <w:rsid w:val="00A71BFF"/>
    <w:rsid w:val="00A8112E"/>
    <w:rsid w:val="00AA0284"/>
    <w:rsid w:val="00AA4AFC"/>
    <w:rsid w:val="00AA7CA5"/>
    <w:rsid w:val="00AB0AF1"/>
    <w:rsid w:val="00AC6C67"/>
    <w:rsid w:val="00AE5147"/>
    <w:rsid w:val="00AE5F41"/>
    <w:rsid w:val="00AE6F51"/>
    <w:rsid w:val="00AF2A3C"/>
    <w:rsid w:val="00B05037"/>
    <w:rsid w:val="00B353ED"/>
    <w:rsid w:val="00B354E6"/>
    <w:rsid w:val="00B456FF"/>
    <w:rsid w:val="00B6132C"/>
    <w:rsid w:val="00B63E0E"/>
    <w:rsid w:val="00B66BC4"/>
    <w:rsid w:val="00BA1320"/>
    <w:rsid w:val="00BB44F3"/>
    <w:rsid w:val="00BC2FA4"/>
    <w:rsid w:val="00BD0663"/>
    <w:rsid w:val="00BD2E64"/>
    <w:rsid w:val="00BF282B"/>
    <w:rsid w:val="00C025B9"/>
    <w:rsid w:val="00C0363D"/>
    <w:rsid w:val="00C22F03"/>
    <w:rsid w:val="00C4537D"/>
    <w:rsid w:val="00C7458B"/>
    <w:rsid w:val="00C85A21"/>
    <w:rsid w:val="00C932AC"/>
    <w:rsid w:val="00CA54F3"/>
    <w:rsid w:val="00CC37FB"/>
    <w:rsid w:val="00CE34FD"/>
    <w:rsid w:val="00CE59DE"/>
    <w:rsid w:val="00D17CD8"/>
    <w:rsid w:val="00D21D96"/>
    <w:rsid w:val="00D22966"/>
    <w:rsid w:val="00D54AF9"/>
    <w:rsid w:val="00D61739"/>
    <w:rsid w:val="00D8465D"/>
    <w:rsid w:val="00DB0328"/>
    <w:rsid w:val="00DB7666"/>
    <w:rsid w:val="00DC4FAC"/>
    <w:rsid w:val="00DC59E4"/>
    <w:rsid w:val="00DC68C6"/>
    <w:rsid w:val="00DC6E79"/>
    <w:rsid w:val="00DF152D"/>
    <w:rsid w:val="00DF75D1"/>
    <w:rsid w:val="00E11731"/>
    <w:rsid w:val="00E132E4"/>
    <w:rsid w:val="00E611EA"/>
    <w:rsid w:val="00E729C9"/>
    <w:rsid w:val="00E80431"/>
    <w:rsid w:val="00E92E25"/>
    <w:rsid w:val="00EC05E1"/>
    <w:rsid w:val="00EE7F3A"/>
    <w:rsid w:val="00EF09B7"/>
    <w:rsid w:val="00EF388D"/>
    <w:rsid w:val="00F03DEA"/>
    <w:rsid w:val="00F4117C"/>
    <w:rsid w:val="00F47841"/>
    <w:rsid w:val="00F57801"/>
    <w:rsid w:val="00F631D1"/>
    <w:rsid w:val="00F66187"/>
    <w:rsid w:val="00FA0781"/>
    <w:rsid w:val="00FA62B8"/>
    <w:rsid w:val="00FB29E7"/>
    <w:rsid w:val="00FB3384"/>
    <w:rsid w:val="00FE3C14"/>
    <w:rsid w:val="00FE5C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5791E0E9-68D3-4ABF-A7B4-E67D39CD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aliases w:val="abc"/>
    <w:basedOn w:val="Normaltabell"/>
    <w:uiPriority w:val="5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paragraph" w:customStyle="1" w:styleId="BodyText">
    <w:name w:val="BodyText"/>
    <w:basedOn w:val="Normal"/>
    <w:link w:val="BodyTextChar"/>
    <w:qFormat/>
    <w:rsid w:val="007F4BA4"/>
    <w:pPr>
      <w:spacing w:line="240" w:lineRule="auto"/>
    </w:pPr>
    <w:rPr>
      <w:rFonts w:ascii="Times New Roman" w:eastAsia="Times New Roman" w:hAnsi="Times New Roman" w:cs="Times New Roman"/>
      <w:color w:val="000000"/>
      <w:szCs w:val="22"/>
    </w:rPr>
  </w:style>
  <w:style w:type="character" w:customStyle="1" w:styleId="BodyTextChar">
    <w:name w:val="BodyText Char"/>
    <w:link w:val="BodyText"/>
    <w:rsid w:val="007F4BA4"/>
    <w:rPr>
      <w:rFonts w:ascii="Times New Roman" w:eastAsia="Times New Roman" w:hAnsi="Times New Roman" w:cs="Times New Roman"/>
      <w:color w:val="000000"/>
      <w:sz w:val="22"/>
      <w:szCs w:val="22"/>
    </w:rPr>
  </w:style>
  <w:style w:type="paragraph" w:customStyle="1" w:styleId="Tabellcell">
    <w:name w:val="Tabellcell"/>
    <w:basedOn w:val="Normal"/>
    <w:link w:val="TabellcellChar"/>
    <w:qFormat/>
    <w:rsid w:val="007F4BA4"/>
    <w:pPr>
      <w:spacing w:before="60" w:after="60" w:line="240" w:lineRule="auto"/>
      <w:ind w:left="57"/>
    </w:pPr>
    <w:rPr>
      <w:rFonts w:ascii="Arial" w:eastAsia="Times New Roman" w:hAnsi="Arial" w:cs="Arial"/>
      <w:sz w:val="18"/>
      <w:szCs w:val="18"/>
    </w:rPr>
  </w:style>
  <w:style w:type="character" w:customStyle="1" w:styleId="TabellcellChar">
    <w:name w:val="Tabellcell Char"/>
    <w:link w:val="Tabellcell"/>
    <w:rsid w:val="007F4BA4"/>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37671CD9A428EB23F1F8380CBE818"/>
        <w:category>
          <w:name w:val="Allmänt"/>
          <w:gallery w:val="placeholder"/>
        </w:category>
        <w:types>
          <w:type w:val="bbPlcHdr"/>
        </w:types>
        <w:behaviors>
          <w:behavior w:val="content"/>
        </w:behaviors>
        <w:guid w:val="{50D7EE0C-FE27-4F9F-A7FF-5944374F9912}"/>
      </w:docPartPr>
      <w:docPartBody>
        <w:p w:rsidR="00434806" w:rsidRDefault="00B23D7A" w:rsidP="00B23D7A">
          <w:pPr>
            <w:pStyle w:val="7A837671CD9A428EB23F1F8380CBE818"/>
          </w:pPr>
          <w:r w:rsidRPr="00AE6F51">
            <w:rPr>
              <w:rStyle w:val="Platshllartext"/>
            </w:rPr>
            <w:t>Förslag till beslut ska skrivas som fullständiga meningar. Om beslutet består av flera delbeslut ska dessa numreras</w:t>
          </w:r>
          <w:r w:rsidRPr="001B1D47">
            <w:rPr>
              <w:rStyle w:val="Platshllartext"/>
            </w:rPr>
            <w:t>.</w:t>
          </w:r>
        </w:p>
      </w:docPartBody>
    </w:docPart>
    <w:docPart>
      <w:docPartPr>
        <w:name w:val="234683BF03464523A501D0C8C2AC7BC4"/>
        <w:category>
          <w:name w:val="Allmänt"/>
          <w:gallery w:val="placeholder"/>
        </w:category>
        <w:types>
          <w:type w:val="bbPlcHdr"/>
        </w:types>
        <w:behaviors>
          <w:behavior w:val="content"/>
        </w:behaviors>
        <w:guid w:val="{ACB69556-474F-488C-A2C1-F04EDCE320D8}"/>
      </w:docPartPr>
      <w:docPartBody>
        <w:p w:rsidR="00B23D7A" w:rsidRPr="00EF09B7" w:rsidRDefault="00B23D7A"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E81832" w:rsidRDefault="00B23D7A" w:rsidP="00B23D7A">
          <w:pPr>
            <w:pStyle w:val="234683BF03464523A501D0C8C2AC7BC4"/>
          </w:pPr>
          <w:r w:rsidRPr="00EF09B7">
            <w:rPr>
              <w:rStyle w:val="Platshllartext"/>
            </w:rPr>
            <w:t>Här finns möjlighet att skriva in de underrubriker som behövs i det särskilda ärendet.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001971"/>
    <w:rsid w:val="00106640"/>
    <w:rsid w:val="002D26CA"/>
    <w:rsid w:val="00434806"/>
    <w:rsid w:val="004B1F42"/>
    <w:rsid w:val="006A53B8"/>
    <w:rsid w:val="006C6C12"/>
    <w:rsid w:val="00703849"/>
    <w:rsid w:val="007A1797"/>
    <w:rsid w:val="00916315"/>
    <w:rsid w:val="00A16822"/>
    <w:rsid w:val="00A520C9"/>
    <w:rsid w:val="00AD513C"/>
    <w:rsid w:val="00B23D7A"/>
    <w:rsid w:val="00BA1193"/>
    <w:rsid w:val="00BD3677"/>
    <w:rsid w:val="00CB4D61"/>
    <w:rsid w:val="00E56B92"/>
    <w:rsid w:val="00E81832"/>
    <w:rsid w:val="00F96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Rubrik2">
    <w:name w:val="heading 2"/>
    <w:basedOn w:val="Normal"/>
    <w:next w:val="Normal"/>
    <w:link w:val="Rubrik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Rubrik6">
    <w:name w:val="heading 6"/>
    <w:basedOn w:val="Normal"/>
    <w:next w:val="Normal"/>
    <w:link w:val="Rubrik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Rubrik8">
    <w:name w:val="heading 8"/>
    <w:basedOn w:val="Normal"/>
    <w:next w:val="Normal"/>
    <w:link w:val="Rubrik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3D7A"/>
    <w:rPr>
      <w:color w:val="595959" w:themeColor="text1" w:themeTint="A6"/>
    </w:rPr>
  </w:style>
  <w:style w:type="character" w:customStyle="1" w:styleId="Rubrik2Char">
    <w:name w:val="Rubrik 2 Char"/>
    <w:basedOn w:val="Standardstycketeckensnitt"/>
    <w:link w:val="Rubrik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Rubrik3Char">
    <w:name w:val="Rubrik 3 Char"/>
    <w:basedOn w:val="Standardstycketeckensnitt"/>
    <w:link w:val="Rubrik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Rubrik6Char">
    <w:name w:val="Rubrik 6 Char"/>
    <w:basedOn w:val="Standardstycketeckensnitt"/>
    <w:link w:val="Rubrik6"/>
    <w:uiPriority w:val="9"/>
    <w:semiHidden/>
    <w:rsid w:val="00BA1193"/>
    <w:rPr>
      <w:rFonts w:asciiTheme="majorHAnsi" w:eastAsiaTheme="majorEastAsia" w:hAnsiTheme="majorHAnsi" w:cstheme="majorBidi"/>
      <w:szCs w:val="24"/>
      <w:lang w:eastAsia="en-US"/>
    </w:rPr>
  </w:style>
  <w:style w:type="character" w:customStyle="1" w:styleId="Rubrik8Char">
    <w:name w:val="Rubrik 8 Char"/>
    <w:basedOn w:val="Standardstycketeckensnitt"/>
    <w:link w:val="Rubrik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Beskrivning">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Underrubrik">
    <w:name w:val="Subtitle"/>
    <w:basedOn w:val="Normal"/>
    <w:next w:val="Normal"/>
    <w:link w:val="UnderrubrikChar"/>
    <w:uiPriority w:val="11"/>
    <w:qFormat/>
    <w:rsid w:val="00CB4D61"/>
    <w:pPr>
      <w:numPr>
        <w:ilvl w:val="1"/>
      </w:numPr>
      <w:spacing w:line="276" w:lineRule="auto"/>
      <w:ind w:left="1134"/>
    </w:pPr>
    <w:rPr>
      <w:rFonts w:cstheme="minorBidi"/>
      <w:color w:val="5A5A5A" w:themeColor="text1" w:themeTint="A5"/>
      <w:spacing w:val="15"/>
      <w:sz w:val="22"/>
      <w:szCs w:val="24"/>
      <w:lang w:eastAsia="en-US"/>
    </w:rPr>
  </w:style>
  <w:style w:type="character" w:customStyle="1" w:styleId="UnderrubrikChar">
    <w:name w:val="Underrubrik Char"/>
    <w:basedOn w:val="Standardstycketeckensnitt"/>
    <w:link w:val="Underrubrik"/>
    <w:uiPriority w:val="11"/>
    <w:rsid w:val="00CB4D61"/>
    <w:rPr>
      <w:color w:val="5A5A5A" w:themeColor="text1" w:themeTint="A5"/>
      <w:spacing w:val="15"/>
      <w:szCs w:val="24"/>
      <w:lang w:eastAsia="en-US"/>
    </w:rPr>
  </w:style>
  <w:style w:type="character" w:styleId="Stark">
    <w:name w:val="Strong"/>
    <w:basedOn w:val="Standardstycketeckensnitt"/>
    <w:uiPriority w:val="22"/>
    <w:qFormat/>
    <w:rsid w:val="00703849"/>
    <w:rPr>
      <w:b/>
      <w:bCs/>
      <w:color w:val="auto"/>
    </w:rPr>
  </w:style>
  <w:style w:type="paragraph" w:styleId="Citat">
    <w:name w:val="Quote"/>
    <w:basedOn w:val="Normal"/>
    <w:next w:val="Normal"/>
    <w:link w:val="CitatChar"/>
    <w:uiPriority w:val="29"/>
    <w:qFormat/>
    <w:rsid w:val="00B23D7A"/>
    <w:pPr>
      <w:spacing w:before="200" w:line="276" w:lineRule="auto"/>
      <w:ind w:left="864" w:right="864"/>
    </w:pPr>
    <w:rPr>
      <w:rFonts w:cstheme="minorBidi"/>
      <w:i/>
      <w:iCs/>
      <w:color w:val="404040" w:themeColor="text1" w:themeTint="BF"/>
      <w:sz w:val="22"/>
      <w:szCs w:val="24"/>
      <w:lang w:eastAsia="en-US"/>
    </w:rPr>
  </w:style>
  <w:style w:type="character" w:customStyle="1" w:styleId="CitatChar">
    <w:name w:val="Citat Char"/>
    <w:basedOn w:val="Standardstycketeckensnitt"/>
    <w:link w:val="Citat"/>
    <w:uiPriority w:val="29"/>
    <w:rsid w:val="00B23D7A"/>
    <w:rPr>
      <w:i/>
      <w:iCs/>
      <w:color w:val="404040" w:themeColor="text1" w:themeTint="BF"/>
      <w:szCs w:val="24"/>
      <w:lang w:eastAsia="en-US"/>
    </w:rPr>
  </w:style>
  <w:style w:type="paragraph" w:styleId="Starktcitat">
    <w:name w:val="Intense Quote"/>
    <w:basedOn w:val="Normal"/>
    <w:next w:val="Normal"/>
    <w:link w:val="StarktcitatChar"/>
    <w:uiPriority w:val="30"/>
    <w:qFormat/>
    <w:rsid w:val="00BA1193"/>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StarktcitatChar">
    <w:name w:val="Starkt citat Char"/>
    <w:basedOn w:val="Standardstycketeckensnitt"/>
    <w:link w:val="Starktcitat"/>
    <w:uiPriority w:val="30"/>
    <w:rsid w:val="00BA1193"/>
    <w:rPr>
      <w:i/>
      <w:iCs/>
      <w:color w:val="404040" w:themeColor="text1" w:themeTint="BF"/>
      <w:szCs w:val="24"/>
      <w:lang w:eastAsia="en-US"/>
    </w:rPr>
  </w:style>
  <w:style w:type="character" w:styleId="Starkreferens">
    <w:name w:val="Intense Reference"/>
    <w:basedOn w:val="Standardstycketeckensnitt"/>
    <w:uiPriority w:val="32"/>
    <w:qFormat/>
    <w:rsid w:val="00BA1193"/>
    <w:rPr>
      <w:b/>
      <w:bCs/>
      <w:smallCaps/>
      <w:color w:val="404040" w:themeColor="text1" w:themeTint="BF"/>
      <w:spacing w:val="5"/>
    </w:rPr>
  </w:style>
  <w:style w:type="character" w:styleId="Betoning">
    <w:name w:val="Emphasis"/>
    <w:basedOn w:val="Standardstycketeckensnitt"/>
    <w:uiPriority w:val="20"/>
    <w:qFormat/>
    <w:rsid w:val="00CB4D61"/>
    <w:rPr>
      <w:i/>
      <w:iCs/>
      <w:color w:val="auto"/>
    </w:rPr>
  </w:style>
  <w:style w:type="paragraph" w:styleId="Ingetavstnd">
    <w:name w:val="No Spacing"/>
    <w:uiPriority w:val="1"/>
    <w:qFormat/>
    <w:rsid w:val="00703849"/>
    <w:pPr>
      <w:spacing w:after="0" w:line="240" w:lineRule="auto"/>
    </w:pPr>
    <w:rPr>
      <w:sz w:val="24"/>
      <w:szCs w:val="24"/>
      <w:lang w:eastAsia="en-US"/>
    </w:rPr>
  </w:style>
  <w:style w:type="paragraph" w:customStyle="1" w:styleId="7A837671CD9A428EB23F1F8380CBE818">
    <w:name w:val="7A837671CD9A428EB23F1F8380CBE818"/>
    <w:rsid w:val="00B23D7A"/>
    <w:pPr>
      <w:spacing w:line="276" w:lineRule="auto"/>
    </w:pPr>
    <w:rPr>
      <w:szCs w:val="24"/>
      <w:lang w:eastAsia="en-US"/>
    </w:rPr>
  </w:style>
  <w:style w:type="paragraph" w:customStyle="1" w:styleId="234683BF03464523A501D0C8C2AC7BC4">
    <w:name w:val="234683BF03464523A501D0C8C2AC7BC4"/>
    <w:rsid w:val="00B23D7A"/>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464b241-6039-49f7-b83c-749f2048f7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510B94EB98E8C4F90166E78D8025AB1" ma:contentTypeVersion="12" ma:contentTypeDescription="Skapa ett nytt dokument." ma:contentTypeScope="" ma:versionID="3fe6b520346a5cc64a49d86e965569ca">
  <xsd:schema xmlns:xsd="http://www.w3.org/2001/XMLSchema" xmlns:xs="http://www.w3.org/2001/XMLSchema" xmlns:p="http://schemas.microsoft.com/office/2006/metadata/properties" xmlns:ns2="6464b241-6039-49f7-b83c-749f2048f746" xmlns:ns3="7478a4a1-8e33-481e-91d0-97526dccca16" targetNamespace="http://schemas.microsoft.com/office/2006/metadata/properties" ma:root="true" ma:fieldsID="b3aaeb96d0a645544f9973d18b038dba" ns2:_="" ns3:_="">
    <xsd:import namespace="6464b241-6039-49f7-b83c-749f2048f746"/>
    <xsd:import namespace="7478a4a1-8e33-481e-91d0-97526dccca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_Flow_SignoffStatu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4b241-6039-49f7-b83c-749f2048f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Godkännandestatus" ma:internalName="Godk_x00e4_nnandestatus">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8a4a1-8e33-481e-91d0-97526dccca16"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75296-A63A-4DED-9F6D-DEB848E5A5FE}">
  <ds:schemaRefs>
    <ds:schemaRef ds:uri="http://schemas.microsoft.com/sharepoint/v3/contenttype/forms"/>
  </ds:schemaRefs>
</ds:datastoreItem>
</file>

<file path=customXml/itemProps2.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6464b241-6039-49f7-b83c-749f2048f746"/>
  </ds:schemaRefs>
</ds:datastoreItem>
</file>

<file path=customXml/itemProps3.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customXml/itemProps4.xml><?xml version="1.0" encoding="utf-8"?>
<ds:datastoreItem xmlns:ds="http://schemas.openxmlformats.org/officeDocument/2006/customXml" ds:itemID="{8A6FA5AF-2A71-4D9D-B9FF-7AB3A85A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4b241-6039-49f7-b83c-749f2048f746"/>
    <ds:schemaRef ds:uri="7478a4a1-8e33-481e-91d0-97526dccc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5546</Characters>
  <Application>Microsoft Office Word</Application>
  <DocSecurity>0</DocSecurity>
  <Lines>173</Lines>
  <Paragraphs>116</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[Organisation], tjänsteutlåtande</dc:title>
  <dc:subject/>
  <dc:creator>Niklas</dc:creator>
  <dc:description/>
  <cp:lastModifiedBy>Daniel Sandberg</cp:lastModifiedBy>
  <cp:revision>4</cp:revision>
  <cp:lastPrinted>2017-01-05T15:29:00Z</cp:lastPrinted>
  <dcterms:created xsi:type="dcterms:W3CDTF">2024-12-13T12:55:00Z</dcterms:created>
  <dcterms:modified xsi:type="dcterms:W3CDTF">2024-12-13T12:55:00Z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ontentTypeId">
    <vt:lpwstr>0x010100D510B94EB98E8C4F90166E78D8025AB1</vt:lpwstr>
  </property>
  <property fmtid="{D5CDD505-2E9C-101B-9397-08002B2CF9AE}" pid="4" name="Order">
    <vt:r8>5200</vt:r8>
  </property>
</Properties>
</file>