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A584" w14:textId="77777777" w:rsidR="00954FD8" w:rsidRDefault="00954FD8" w:rsidP="00927232">
      <w:pPr>
        <w:ind w:left="-567"/>
      </w:pPr>
    </w:p>
    <w:p w14:paraId="33D97A84" w14:textId="77777777" w:rsidR="00954FD8" w:rsidRDefault="00954FD8"/>
    <w:p w14:paraId="393DF152" w14:textId="77777777" w:rsidR="00954FD8" w:rsidRDefault="00954FD8"/>
    <w:p w14:paraId="185FA8B0" w14:textId="77777777" w:rsidR="00954FD8" w:rsidRDefault="00954FD8"/>
    <w:p w14:paraId="28D72FDF" w14:textId="77777777" w:rsidR="00954FD8" w:rsidRDefault="00954FD8"/>
    <w:p w14:paraId="62543FDF" w14:textId="77777777" w:rsidR="00954FD8" w:rsidRDefault="00954FD8"/>
    <w:p w14:paraId="55234140" w14:textId="77777777" w:rsidR="00954FD8" w:rsidRDefault="00954FD8"/>
    <w:p w14:paraId="448B1C07" w14:textId="3B80A01E" w:rsidR="00954FD8" w:rsidRPr="00F84915" w:rsidRDefault="00954FD8" w:rsidP="00927232">
      <w:pPr>
        <w:ind w:left="-851"/>
        <w:rPr>
          <w:rFonts w:ascii="Arial" w:hAnsi="Arial" w:cs="Arial"/>
          <w:b/>
          <w:bCs/>
          <w:sz w:val="56"/>
          <w:szCs w:val="56"/>
        </w:rPr>
      </w:pPr>
      <w:r w:rsidRPr="00F84915">
        <w:rPr>
          <w:rFonts w:ascii="Arial" w:hAnsi="Arial" w:cs="Arial"/>
          <w:b/>
          <w:bCs/>
          <w:sz w:val="56"/>
          <w:szCs w:val="56"/>
        </w:rPr>
        <w:t xml:space="preserve">Delårsrapport mars 2025 </w:t>
      </w:r>
    </w:p>
    <w:p w14:paraId="27BF01F9" w14:textId="4DF777AC" w:rsidR="00954FD8" w:rsidRPr="00FB1552" w:rsidRDefault="00F21494" w:rsidP="00FB1552">
      <w:pPr>
        <w:ind w:left="-851"/>
        <w:rPr>
          <w:rFonts w:ascii="Arial" w:hAnsi="Arial" w:cs="Arial"/>
          <w:b/>
          <w:bCs/>
          <w:sz w:val="34"/>
          <w:szCs w:val="34"/>
        </w:rPr>
      </w:pPr>
      <w:r>
        <w:rPr>
          <w:rFonts w:ascii="Arial" w:hAnsi="Arial" w:cs="Arial"/>
          <w:b/>
          <w:bCs/>
          <w:sz w:val="34"/>
          <w:szCs w:val="34"/>
        </w:rPr>
        <w:t>Revisorskollegiet</w:t>
      </w:r>
    </w:p>
    <w:p w14:paraId="65BB8798" w14:textId="77777777" w:rsidR="00526E50" w:rsidRDefault="00954FD8">
      <w:r>
        <w:br w:type="page"/>
      </w:r>
    </w:p>
    <w:p w14:paraId="664DBFC3" w14:textId="77777777" w:rsidR="00526E50" w:rsidRDefault="00954FD8" w:rsidP="00F21494">
      <w:pPr>
        <w:pStyle w:val="Rubrik1-Sidbryt"/>
        <w:numPr>
          <w:ilvl w:val="0"/>
          <w:numId w:val="0"/>
        </w:numPr>
      </w:pPr>
      <w:r>
        <w:lastRenderedPageBreak/>
        <w:t>Sammanfattning</w:t>
      </w:r>
    </w:p>
    <w:p w14:paraId="4FC28B1C" w14:textId="77777777" w:rsidR="00526E50" w:rsidRDefault="00954FD8">
      <w:pPr>
        <w:pStyle w:val="BodyText"/>
        <w:widowControl w:val="0"/>
      </w:pPr>
      <w:r>
        <w:t>Stadsrevisionens vision är att stärka tilltron till det demokratiska systemet. Stadsrevisionen bidrar till att stärka tilltron till demokratin genom att ge kommunfullmäktige goda möjligheter att pröva om de verksamheter som utförs på uppdrag av fullmäktige styrs och leds på ett sätt som är ändamålsenligt, att det sker i enlighet med gällande lagstiftning och andra riktlinjer samt att verksamheten utförs med god hushållning av tilldelade resurser.</w:t>
      </w:r>
    </w:p>
    <w:p w14:paraId="755F80E5" w14:textId="77777777" w:rsidR="00526E50" w:rsidRDefault="00954FD8">
      <w:pPr>
        <w:pStyle w:val="BodyText"/>
        <w:widowControl w:val="0"/>
      </w:pPr>
      <w:r>
        <w:t>Revisionens uppdrag är till stor del reglerat i lag och god sed. Den kommunala revisionen är ett lokalt demokratiskt kontrollinstrument med uppdrag att granska den verksamhet som bedrivs i nämnder och styrelser. Granskning ska genomföras med en sådan omfattning att revisorerna årligen kan bedöma att kommunens och de kommunala bolagens utövade verksamhet är ändamålsenlig och ekonomiskt tillfredsställande; att Göteborgs Stads årsredovisning, som omfattar kommunen och den sammanställda redovisningen är rättvisande; att den interna kontrollen i kommunstyrelsen, nämnder och bolag är tillräcklig; att resultatet i stadens delårsrapport och årsbokslut är förenliga med de mål fullmäktige beslutat; att redovisningen enligt lagen om insyn i vissa finansiella förbindelser har fullgjorts. Resultatet av genomfört uppdrag redovisas i och med att stadsrevisionen överlämnar och redovisar sina granskningar till kommunfullmäktige.</w:t>
      </w:r>
    </w:p>
    <w:p w14:paraId="6BE0B538" w14:textId="77777777" w:rsidR="00526E50" w:rsidRDefault="00954FD8">
      <w:pPr>
        <w:pStyle w:val="BodyText"/>
        <w:widowControl w:val="0"/>
      </w:pPr>
      <w:r>
        <w:t>Revisorerna ska enligt kommunallagen utöva sitt uppdrag självständigt, det vill säga vara oberoende i förhållande till de som granskas. Beredningen av budget och ekonomisk rapportering sker därför direkt till kommunfullmäktiges presidium. Oberoendet innebär också att revisorerna ska sköta sin egen förvaltning.</w:t>
      </w:r>
    </w:p>
    <w:p w14:paraId="26951211" w14:textId="77777777" w:rsidR="00526E50" w:rsidRDefault="00954FD8">
      <w:pPr>
        <w:pStyle w:val="BodyText"/>
        <w:widowControl w:val="0"/>
      </w:pPr>
      <w:r>
        <w:t> </w:t>
      </w:r>
    </w:p>
    <w:p w14:paraId="3FE2DF3B" w14:textId="77777777" w:rsidR="00526E50" w:rsidRDefault="00954FD8">
      <w:pPr>
        <w:pStyle w:val="BodyText"/>
        <w:widowControl w:val="0"/>
      </w:pPr>
      <w:r>
        <w:rPr>
          <w:b/>
        </w:rPr>
        <w:t>Ekonomi</w:t>
      </w:r>
      <w:r>
        <w:br/>
        <w:t>Stadsrevisionens kommunbidrag och budgeterade omsättning för 2025 är 43 753 tkr respektive 49 555 tkr.</w:t>
      </w:r>
    </w:p>
    <w:p w14:paraId="7D9AB817" w14:textId="77777777" w:rsidR="00526E50" w:rsidRDefault="00954FD8">
      <w:pPr>
        <w:pStyle w:val="BodyText"/>
        <w:widowControl w:val="0"/>
      </w:pPr>
      <w:r>
        <w:t>Det ackumulerade utfallet för första kvartalet uppgår till 533 tkr, vilket ger en positiv avvikelse med 589 tkr jämfört med budget.</w:t>
      </w:r>
    </w:p>
    <w:p w14:paraId="33954C82" w14:textId="77777777" w:rsidR="00526E50" w:rsidRDefault="00954FD8">
      <w:pPr>
        <w:pStyle w:val="BodyText"/>
        <w:widowControl w:val="0"/>
      </w:pPr>
      <w:r>
        <w:t>Intäkterna är 18 tkr högre än ackumulerad budget. Den positiva avvikelsen beror endast på periodisering och är inte en reell avvikelse som kommer påverka det faktiska utfallet under året.</w:t>
      </w:r>
    </w:p>
    <w:p w14:paraId="01A4DE56" w14:textId="77777777" w:rsidR="00526E50" w:rsidRDefault="00954FD8">
      <w:pPr>
        <w:pStyle w:val="BodyText"/>
        <w:widowControl w:val="0"/>
      </w:pPr>
      <w:r>
        <w:t>Kostnaderna är 571 tkr lägre än ackumulerad budget. Anledningen till den positiva avvikelsen beror på att vissa verksamhetskostnader, så som kurs-och konferenskostnader samt inköp av tjänster inte har fallit ut enligt periodiserad budget, kostnaderna förväntas falla ut senare under året.</w:t>
      </w:r>
    </w:p>
    <w:p w14:paraId="2CF24B2E" w14:textId="5B5472FB" w:rsidR="00F21494" w:rsidRDefault="00954FD8">
      <w:pPr>
        <w:pStyle w:val="BodyText"/>
        <w:widowControl w:val="0"/>
      </w:pPr>
      <w:r>
        <w:t>Stadsrevisionen lämnar en prognos som ligger i nivå med det budgeterade årsresultatet på 0 tkr.</w:t>
      </w:r>
    </w:p>
    <w:p w14:paraId="51CBFC4C" w14:textId="77777777" w:rsidR="00F21494" w:rsidRDefault="00F21494">
      <w:pPr>
        <w:spacing w:after="0" w:line="240" w:lineRule="auto"/>
        <w:rPr>
          <w:color w:val="000000"/>
        </w:rPr>
      </w:pPr>
      <w:r>
        <w:br w:type="page"/>
      </w:r>
    </w:p>
    <w:p w14:paraId="6FBCAF6C" w14:textId="77777777" w:rsidR="00526E50" w:rsidRDefault="00954FD8" w:rsidP="00F21494">
      <w:pPr>
        <w:pStyle w:val="Rubrik2"/>
        <w:numPr>
          <w:ilvl w:val="0"/>
          <w:numId w:val="0"/>
        </w:numPr>
      </w:pPr>
      <w:r>
        <w:t>Ekonomisk uppföljning</w:t>
      </w:r>
    </w:p>
    <w:p w14:paraId="6083519B" w14:textId="1DF763F8" w:rsidR="00526E50" w:rsidRDefault="00954FD8" w:rsidP="00F21494">
      <w:pPr>
        <w:pStyle w:val="Rubrik3"/>
        <w:numPr>
          <w:ilvl w:val="0"/>
          <w:numId w:val="0"/>
        </w:numPr>
      </w:pPr>
      <w:r>
        <w:t xml:space="preserve">Resultatredovisning i sammandrag </w:t>
      </w:r>
    </w:p>
    <w:tbl>
      <w:tblPr>
        <w:tblStyle w:val="Tabellrutnt"/>
        <w:tblOverlap w:val="never"/>
        <w:tblW w:w="9209" w:type="dxa"/>
        <w:tblLayout w:type="fixed"/>
        <w:tblLook w:val="04A0" w:firstRow="1" w:lastRow="0" w:firstColumn="1" w:lastColumn="0" w:noHBand="0" w:noVBand="1"/>
      </w:tblPr>
      <w:tblGrid>
        <w:gridCol w:w="1555"/>
        <w:gridCol w:w="992"/>
        <w:gridCol w:w="992"/>
        <w:gridCol w:w="709"/>
        <w:gridCol w:w="992"/>
        <w:gridCol w:w="992"/>
        <w:gridCol w:w="993"/>
        <w:gridCol w:w="992"/>
        <w:gridCol w:w="992"/>
      </w:tblGrid>
      <w:tr w:rsidR="00526E50" w14:paraId="2255177C" w14:textId="77777777" w:rsidTr="006F2D41">
        <w:trPr>
          <w:cantSplit w:val="0"/>
          <w:trHeight w:val="342"/>
        </w:trPr>
        <w:tc>
          <w:tcPr>
            <w:tcW w:w="1555" w:type="dxa"/>
            <w:tcBorders>
              <w:top w:val="single" w:sz="4" w:space="0" w:color="auto"/>
              <w:left w:val="single" w:sz="4" w:space="0" w:color="auto"/>
              <w:bottom w:val="nil"/>
              <w:right w:val="nil"/>
            </w:tcBorders>
            <w:shd w:val="clear" w:color="auto" w:fill="E5E5E5"/>
            <w:vAlign w:val="center"/>
          </w:tcPr>
          <w:p w14:paraId="28DE9528" w14:textId="309A7311" w:rsidR="00526E50" w:rsidRDefault="00954FD8">
            <w:pPr>
              <w:pStyle w:val="Tabellcell"/>
            </w:pPr>
            <w:r>
              <w:rPr>
                <w:b/>
              </w:rPr>
              <w:t xml:space="preserve">Belopp i </w:t>
            </w:r>
            <w:r w:rsidR="00F21494">
              <w:rPr>
                <w:b/>
              </w:rPr>
              <w:t>t</w:t>
            </w:r>
            <w:r>
              <w:rPr>
                <w:b/>
              </w:rPr>
              <w:t>kr</w:t>
            </w:r>
          </w:p>
        </w:tc>
        <w:tc>
          <w:tcPr>
            <w:tcW w:w="3685" w:type="dxa"/>
            <w:gridSpan w:val="4"/>
            <w:tcBorders>
              <w:top w:val="single" w:sz="4" w:space="0" w:color="auto"/>
              <w:left w:val="nil"/>
              <w:bottom w:val="single" w:sz="4" w:space="0" w:color="auto"/>
              <w:right w:val="nil"/>
            </w:tcBorders>
            <w:shd w:val="clear" w:color="auto" w:fill="E5E5E5"/>
            <w:vAlign w:val="bottom"/>
          </w:tcPr>
          <w:p w14:paraId="7E0CDDF1" w14:textId="77777777" w:rsidR="00526E50" w:rsidRDefault="00954FD8">
            <w:pPr>
              <w:pStyle w:val="Tabellcell"/>
            </w:pPr>
            <w:r>
              <w:rPr>
                <w:b/>
              </w:rPr>
              <w:t>Period</w:t>
            </w:r>
          </w:p>
        </w:tc>
        <w:tc>
          <w:tcPr>
            <w:tcW w:w="3969" w:type="dxa"/>
            <w:gridSpan w:val="4"/>
            <w:tcBorders>
              <w:top w:val="single" w:sz="4" w:space="0" w:color="auto"/>
              <w:left w:val="nil"/>
              <w:bottom w:val="single" w:sz="4" w:space="0" w:color="auto"/>
              <w:right w:val="nil"/>
            </w:tcBorders>
            <w:shd w:val="clear" w:color="auto" w:fill="B4B4B4"/>
            <w:vAlign w:val="bottom"/>
          </w:tcPr>
          <w:p w14:paraId="4EAB7284" w14:textId="77777777" w:rsidR="00526E50" w:rsidRDefault="00954FD8">
            <w:pPr>
              <w:pStyle w:val="Tabellcell"/>
            </w:pPr>
            <w:r>
              <w:rPr>
                <w:b/>
              </w:rPr>
              <w:t>Helår</w:t>
            </w:r>
          </w:p>
        </w:tc>
      </w:tr>
      <w:tr w:rsidR="006F2D41" w14:paraId="2C890F0F" w14:textId="77777777" w:rsidTr="006F2D41">
        <w:trPr>
          <w:cantSplit w:val="0"/>
          <w:trHeight w:val="769"/>
        </w:trPr>
        <w:tc>
          <w:tcPr>
            <w:tcW w:w="1555"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3572A83E" w14:textId="77777777" w:rsidR="00526E50" w:rsidRDefault="00526E50">
            <w:pPr>
              <w:pStyle w:val="Tabellcell"/>
            </w:pPr>
          </w:p>
        </w:tc>
        <w:tc>
          <w:tcPr>
            <w:tcW w:w="992" w:type="dxa"/>
            <w:tcBorders>
              <w:top w:val="single" w:sz="4" w:space="0" w:color="auto"/>
              <w:left w:val="nil"/>
              <w:bottom w:val="single" w:sz="18" w:space="0" w:color="auto"/>
              <w:right w:val="nil"/>
            </w:tcBorders>
            <w:shd w:val="clear" w:color="auto" w:fill="E5E5E5"/>
          </w:tcPr>
          <w:p w14:paraId="0AAD3535" w14:textId="77777777" w:rsidR="00526E50" w:rsidRDefault="00954FD8">
            <w:pPr>
              <w:pStyle w:val="Tabellcell"/>
              <w:jc w:val="center"/>
            </w:pPr>
            <w:r>
              <w:t>Utfall</w:t>
            </w:r>
          </w:p>
        </w:tc>
        <w:tc>
          <w:tcPr>
            <w:tcW w:w="992" w:type="dxa"/>
            <w:tcBorders>
              <w:top w:val="single" w:sz="4" w:space="0" w:color="auto"/>
              <w:left w:val="nil"/>
              <w:bottom w:val="single" w:sz="18" w:space="0" w:color="auto"/>
              <w:right w:val="nil"/>
            </w:tcBorders>
            <w:shd w:val="clear" w:color="auto" w:fill="E5E5E5"/>
          </w:tcPr>
          <w:p w14:paraId="31DEEE33" w14:textId="77777777" w:rsidR="00526E50" w:rsidRDefault="00954FD8">
            <w:pPr>
              <w:pStyle w:val="Tabellcell"/>
              <w:jc w:val="center"/>
            </w:pPr>
            <w:r>
              <w:t>Budget</w:t>
            </w:r>
          </w:p>
        </w:tc>
        <w:tc>
          <w:tcPr>
            <w:tcW w:w="709" w:type="dxa"/>
            <w:tcBorders>
              <w:top w:val="single" w:sz="4" w:space="0" w:color="auto"/>
              <w:left w:val="nil"/>
              <w:bottom w:val="single" w:sz="18" w:space="0" w:color="auto"/>
              <w:right w:val="nil"/>
            </w:tcBorders>
            <w:shd w:val="clear" w:color="auto" w:fill="E5E5E5"/>
          </w:tcPr>
          <w:p w14:paraId="5064D9FE" w14:textId="4F20306D" w:rsidR="00526E50" w:rsidRDefault="00954FD8">
            <w:pPr>
              <w:pStyle w:val="Tabellcell"/>
              <w:jc w:val="center"/>
            </w:pPr>
            <w:r>
              <w:t>Avvikelse</w:t>
            </w:r>
          </w:p>
        </w:tc>
        <w:tc>
          <w:tcPr>
            <w:tcW w:w="992" w:type="dxa"/>
            <w:tcBorders>
              <w:top w:val="single" w:sz="4" w:space="0" w:color="auto"/>
              <w:left w:val="nil"/>
              <w:bottom w:val="single" w:sz="18" w:space="0" w:color="auto"/>
              <w:right w:val="nil"/>
            </w:tcBorders>
            <w:shd w:val="clear" w:color="auto" w:fill="E5E5E5"/>
          </w:tcPr>
          <w:p w14:paraId="480BB958" w14:textId="77777777" w:rsidR="00526E50" w:rsidRDefault="00954FD8">
            <w:pPr>
              <w:pStyle w:val="Tabellcell"/>
              <w:jc w:val="center"/>
            </w:pPr>
            <w:r>
              <w:t>Utfall fg år</w:t>
            </w:r>
          </w:p>
        </w:tc>
        <w:tc>
          <w:tcPr>
            <w:tcW w:w="992" w:type="dxa"/>
            <w:tcBorders>
              <w:top w:val="single" w:sz="4" w:space="0" w:color="auto"/>
              <w:left w:val="nil"/>
              <w:bottom w:val="single" w:sz="18" w:space="0" w:color="auto"/>
              <w:right w:val="nil"/>
            </w:tcBorders>
            <w:shd w:val="clear" w:color="auto" w:fill="B4B4B4"/>
          </w:tcPr>
          <w:p w14:paraId="04D2372B" w14:textId="77777777" w:rsidR="00526E50" w:rsidRDefault="00954FD8">
            <w:pPr>
              <w:pStyle w:val="Tabellcell"/>
              <w:jc w:val="center"/>
            </w:pPr>
            <w:r>
              <w:t>Prognos</w:t>
            </w:r>
          </w:p>
        </w:tc>
        <w:tc>
          <w:tcPr>
            <w:tcW w:w="993" w:type="dxa"/>
            <w:tcBorders>
              <w:top w:val="single" w:sz="4" w:space="0" w:color="auto"/>
              <w:left w:val="nil"/>
              <w:bottom w:val="single" w:sz="18" w:space="0" w:color="auto"/>
              <w:right w:val="nil"/>
            </w:tcBorders>
            <w:shd w:val="clear" w:color="auto" w:fill="B4B4B4"/>
          </w:tcPr>
          <w:p w14:paraId="0F9B2A11" w14:textId="77777777" w:rsidR="00526E50" w:rsidRDefault="00954FD8">
            <w:pPr>
              <w:pStyle w:val="Tabellcell"/>
              <w:jc w:val="center"/>
            </w:pPr>
            <w:r>
              <w:t>Fg prognos</w:t>
            </w:r>
          </w:p>
        </w:tc>
        <w:tc>
          <w:tcPr>
            <w:tcW w:w="992" w:type="dxa"/>
            <w:tcBorders>
              <w:top w:val="single" w:sz="4" w:space="0" w:color="auto"/>
              <w:left w:val="nil"/>
              <w:bottom w:val="single" w:sz="18" w:space="0" w:color="auto"/>
              <w:right w:val="nil"/>
            </w:tcBorders>
            <w:shd w:val="clear" w:color="auto" w:fill="B4B4B4"/>
          </w:tcPr>
          <w:p w14:paraId="4EA97F8E" w14:textId="77777777" w:rsidR="00526E50" w:rsidRDefault="00954FD8">
            <w:pPr>
              <w:pStyle w:val="Tabellcell"/>
              <w:jc w:val="center"/>
            </w:pPr>
            <w:r>
              <w:t>Budget</w:t>
            </w:r>
          </w:p>
        </w:tc>
        <w:tc>
          <w:tcPr>
            <w:tcW w:w="992" w:type="dxa"/>
            <w:tcBorders>
              <w:top w:val="single" w:sz="4" w:space="0" w:color="auto"/>
              <w:left w:val="nil"/>
              <w:bottom w:val="single" w:sz="18" w:space="0" w:color="auto"/>
              <w:right w:val="single" w:sz="4" w:space="0" w:color="auto"/>
            </w:tcBorders>
            <w:shd w:val="clear" w:color="auto" w:fill="B4B4B4"/>
          </w:tcPr>
          <w:p w14:paraId="578F38F6" w14:textId="77777777" w:rsidR="00526E50" w:rsidRDefault="00954FD8">
            <w:pPr>
              <w:pStyle w:val="Tabellcell"/>
              <w:jc w:val="center"/>
            </w:pPr>
            <w:r>
              <w:t>Bokslut fg år</w:t>
            </w:r>
          </w:p>
        </w:tc>
      </w:tr>
      <w:tr w:rsidR="006F2D41" w14:paraId="2F96013F" w14:textId="77777777" w:rsidTr="006F2D41">
        <w:trPr>
          <w:cantSplit w:val="0"/>
          <w:trHeight w:val="332"/>
        </w:trPr>
        <w:tc>
          <w:tcPr>
            <w:tcW w:w="1555" w:type="dxa"/>
            <w:tcBorders>
              <w:top w:val="single" w:sz="18" w:space="0" w:color="auto"/>
              <w:left w:val="single" w:sz="4" w:space="0" w:color="auto"/>
              <w:bottom w:val="single" w:sz="4" w:space="0" w:color="auto"/>
              <w:right w:val="single" w:sz="4" w:space="0" w:color="auto"/>
            </w:tcBorders>
            <w:shd w:val="clear" w:color="auto" w:fill="FFFFFF"/>
            <w:vAlign w:val="center"/>
          </w:tcPr>
          <w:p w14:paraId="21137630" w14:textId="77777777" w:rsidR="00526E50" w:rsidRDefault="00954FD8">
            <w:pPr>
              <w:pStyle w:val="Tabellcell"/>
            </w:pPr>
            <w:r>
              <w:t>Intäkter</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02A9CAB6" w14:textId="77777777" w:rsidR="00526E50" w:rsidRDefault="00954FD8">
            <w:pPr>
              <w:pStyle w:val="Tabellcell"/>
              <w:jc w:val="right"/>
            </w:pPr>
            <w:r>
              <w:t>1 469</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46D24F3B" w14:textId="77777777" w:rsidR="00526E50" w:rsidRDefault="00954FD8">
            <w:pPr>
              <w:pStyle w:val="Tabellcell"/>
              <w:jc w:val="right"/>
            </w:pPr>
            <w:r>
              <w:t>1 451</w:t>
            </w:r>
          </w:p>
        </w:tc>
        <w:tc>
          <w:tcPr>
            <w:tcW w:w="709" w:type="dxa"/>
            <w:tcBorders>
              <w:top w:val="single" w:sz="18" w:space="0" w:color="auto"/>
              <w:left w:val="single" w:sz="4" w:space="0" w:color="auto"/>
              <w:bottom w:val="single" w:sz="4" w:space="0" w:color="auto"/>
              <w:right w:val="single" w:sz="4" w:space="0" w:color="auto"/>
            </w:tcBorders>
            <w:shd w:val="clear" w:color="auto" w:fill="FFFFFF"/>
            <w:vAlign w:val="center"/>
          </w:tcPr>
          <w:p w14:paraId="0D365D3C" w14:textId="77777777" w:rsidR="00526E50" w:rsidRDefault="00954FD8">
            <w:pPr>
              <w:pStyle w:val="Tabellcell"/>
              <w:jc w:val="right"/>
            </w:pPr>
            <w:r>
              <w:t>18</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79A38642" w14:textId="77777777" w:rsidR="00526E50" w:rsidRDefault="00954FD8">
            <w:pPr>
              <w:pStyle w:val="Tabellcell"/>
              <w:jc w:val="right"/>
            </w:pPr>
            <w:r>
              <w:t>1 688</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11628C6A" w14:textId="77777777" w:rsidR="00526E50" w:rsidRDefault="00954FD8">
            <w:pPr>
              <w:pStyle w:val="Tabellcell"/>
              <w:jc w:val="right"/>
            </w:pPr>
            <w:r>
              <w:t>5 812</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14:paraId="0CB16A7F" w14:textId="77777777" w:rsidR="00526E50" w:rsidRDefault="00954FD8">
            <w:pPr>
              <w:pStyle w:val="Tabellcell"/>
              <w:jc w:val="right"/>
            </w:pPr>
            <w:r>
              <w:t>5 810</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0D4F2F28" w14:textId="77777777" w:rsidR="00526E50" w:rsidRDefault="00954FD8">
            <w:pPr>
              <w:pStyle w:val="Tabellcell"/>
              <w:jc w:val="right"/>
            </w:pPr>
            <w:r>
              <w:t>5 802</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14:paraId="31D0BAAB" w14:textId="77777777" w:rsidR="00526E50" w:rsidRDefault="00954FD8">
            <w:pPr>
              <w:pStyle w:val="Tabellcell"/>
              <w:jc w:val="right"/>
            </w:pPr>
            <w:r>
              <w:t>5 661</w:t>
            </w:r>
          </w:p>
        </w:tc>
      </w:tr>
      <w:tr w:rsidR="006F2D41" w14:paraId="5CEA13DC" w14:textId="77777777" w:rsidTr="006F2D41">
        <w:trPr>
          <w:cantSplit w:val="0"/>
          <w:trHeight w:val="550"/>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8BAA089" w14:textId="77777777" w:rsidR="00526E50" w:rsidRDefault="00954FD8">
            <w:pPr>
              <w:pStyle w:val="Tabellcell"/>
            </w:pPr>
            <w:r>
              <w:t>Kostnader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AD68A9" w14:textId="77777777" w:rsidR="00526E50" w:rsidRDefault="00954FD8">
            <w:pPr>
              <w:pStyle w:val="Tabellcell"/>
              <w:jc w:val="right"/>
            </w:pPr>
            <w:r>
              <w:t>-11 875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94DA6A" w14:textId="77777777" w:rsidR="00526E50" w:rsidRDefault="00954FD8">
            <w:pPr>
              <w:pStyle w:val="Tabellcell"/>
              <w:jc w:val="right"/>
            </w:pPr>
            <w:r>
              <w:t>-12 446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8BBEC5" w14:textId="77777777" w:rsidR="00526E50" w:rsidRDefault="00954FD8">
            <w:pPr>
              <w:pStyle w:val="Tabellcell"/>
              <w:jc w:val="right"/>
            </w:pPr>
            <w:r>
              <w:t>571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225020" w14:textId="77777777" w:rsidR="00526E50" w:rsidRDefault="00954FD8">
            <w:pPr>
              <w:pStyle w:val="Tabellcell"/>
              <w:jc w:val="right"/>
            </w:pPr>
            <w:r>
              <w:t>-12 430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68BD2F" w14:textId="77777777" w:rsidR="00526E50" w:rsidRDefault="00954FD8">
            <w:pPr>
              <w:pStyle w:val="Tabellcell"/>
              <w:jc w:val="right"/>
            </w:pPr>
            <w:r>
              <w:t>-49 565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2E7A96" w14:textId="77777777" w:rsidR="00526E50" w:rsidRDefault="00954FD8">
            <w:pPr>
              <w:pStyle w:val="Tabellcell"/>
              <w:jc w:val="right"/>
            </w:pPr>
            <w:r>
              <w:t>-49 563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217D0C" w14:textId="77777777" w:rsidR="00526E50" w:rsidRDefault="00954FD8">
            <w:pPr>
              <w:pStyle w:val="Tabellcell"/>
              <w:jc w:val="right"/>
            </w:pPr>
            <w:r>
              <w:t>-49 555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C703D0" w14:textId="77777777" w:rsidR="00526E50" w:rsidRDefault="00954FD8">
            <w:pPr>
              <w:pStyle w:val="Tabellcell"/>
              <w:jc w:val="right"/>
            </w:pPr>
            <w:r>
              <w:t>-45 179</w:t>
            </w:r>
          </w:p>
        </w:tc>
      </w:tr>
      <w:tr w:rsidR="006F2D41" w14:paraId="1778C70A" w14:textId="77777777" w:rsidTr="006F2D41">
        <w:trPr>
          <w:cantSplit w:val="0"/>
          <w:trHeight w:val="561"/>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B08BBD6" w14:textId="77777777" w:rsidR="00526E50" w:rsidRDefault="00954FD8">
            <w:pPr>
              <w:pStyle w:val="Tabellcell"/>
            </w:pPr>
            <w:r>
              <w:t>Kommunbidrag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1ABD36" w14:textId="77777777" w:rsidR="00526E50" w:rsidRDefault="00954FD8">
            <w:pPr>
              <w:pStyle w:val="Tabellcell"/>
              <w:jc w:val="right"/>
            </w:pPr>
            <w:r>
              <w:t>10 939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D98A7F" w14:textId="77777777" w:rsidR="00526E50" w:rsidRDefault="00954FD8">
            <w:pPr>
              <w:pStyle w:val="Tabellcell"/>
              <w:jc w:val="right"/>
            </w:pPr>
            <w:r>
              <w:t>10 939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A307B9"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6C1908" w14:textId="77777777" w:rsidR="00526E50" w:rsidRDefault="00954FD8">
            <w:pPr>
              <w:pStyle w:val="Tabellcell"/>
              <w:jc w:val="right"/>
            </w:pPr>
            <w:r>
              <w:t>10 580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08ECB1" w14:textId="77777777" w:rsidR="00526E50" w:rsidRDefault="00954FD8">
            <w:pPr>
              <w:pStyle w:val="Tabellcell"/>
              <w:jc w:val="right"/>
            </w:pPr>
            <w:r>
              <w:t>43 753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6D499E" w14:textId="77777777" w:rsidR="00526E50" w:rsidRDefault="00954FD8">
            <w:pPr>
              <w:pStyle w:val="Tabellcell"/>
              <w:jc w:val="right"/>
            </w:pPr>
            <w:r>
              <w:t>43 753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AE3466" w14:textId="77777777" w:rsidR="00526E50" w:rsidRDefault="00954FD8">
            <w:pPr>
              <w:pStyle w:val="Tabellcell"/>
              <w:jc w:val="right"/>
            </w:pPr>
            <w:r>
              <w:t>43 753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1D0C98" w14:textId="77777777" w:rsidR="00526E50" w:rsidRDefault="00954FD8">
            <w:pPr>
              <w:pStyle w:val="Tabellcell"/>
              <w:jc w:val="right"/>
            </w:pPr>
            <w:r>
              <w:t>42 296</w:t>
            </w:r>
          </w:p>
        </w:tc>
      </w:tr>
      <w:tr w:rsidR="006F2D41" w14:paraId="67C2A5A2" w14:textId="77777777" w:rsidTr="006F2D41">
        <w:trPr>
          <w:cantSplit w:val="0"/>
          <w:trHeight w:val="550"/>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F78775E" w14:textId="77777777" w:rsidR="00526E50" w:rsidRDefault="00954FD8">
            <w:pPr>
              <w:pStyle w:val="Tabellcell"/>
            </w:pPr>
            <w:r>
              <w:t>Kommuninterna bidrag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88157C"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AD02B3" w14:textId="77777777" w:rsidR="00526E50" w:rsidRDefault="00954FD8">
            <w:pPr>
              <w:pStyle w:val="Tabellcell"/>
              <w:jc w:val="right"/>
            </w:pPr>
            <w: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4D5FE6"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64D059"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99BF5A" w14:textId="77777777" w:rsidR="00526E50" w:rsidRDefault="00954FD8">
            <w:pPr>
              <w:pStyle w:val="Tabellcell"/>
              <w:jc w:val="right"/>
            </w:pPr>
            <w: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4E8B15"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3A5E9F" w14:textId="77777777" w:rsidR="00526E50" w:rsidRDefault="00954FD8">
            <w:pPr>
              <w:pStyle w:val="Tabellcell"/>
              <w:jc w:val="right"/>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4CEA3A" w14:textId="77777777" w:rsidR="00526E50" w:rsidRDefault="00954FD8">
            <w:pPr>
              <w:pStyle w:val="Tabellcell"/>
              <w:jc w:val="right"/>
            </w:pPr>
            <w:r>
              <w:t>0</w:t>
            </w:r>
          </w:p>
        </w:tc>
      </w:tr>
      <w:tr w:rsidR="006F2D41" w14:paraId="7C94C9E7" w14:textId="77777777" w:rsidTr="006F2D41">
        <w:trPr>
          <w:cantSplit w:val="0"/>
          <w:trHeight w:val="342"/>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1592DB7" w14:textId="77777777" w:rsidR="00526E50" w:rsidRDefault="00954FD8">
            <w:pPr>
              <w:pStyle w:val="Tabellcell"/>
            </w:pPr>
            <w:r>
              <w:rPr>
                <w:b/>
              </w:rPr>
              <w:t>Resultat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3B949B" w14:textId="77777777" w:rsidR="00526E50" w:rsidRDefault="00954FD8">
            <w:pPr>
              <w:pStyle w:val="Tabellcell"/>
              <w:jc w:val="right"/>
            </w:pPr>
            <w:r>
              <w:rPr>
                <w:b/>
              </w:rPr>
              <w:t>533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C0D0F5" w14:textId="77777777" w:rsidR="00526E50" w:rsidRDefault="00954FD8">
            <w:pPr>
              <w:pStyle w:val="Tabellcell"/>
              <w:jc w:val="right"/>
            </w:pPr>
            <w:r>
              <w:rPr>
                <w:b/>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1D07E5" w14:textId="77777777" w:rsidR="00526E50" w:rsidRDefault="00954FD8">
            <w:pPr>
              <w:pStyle w:val="Tabellcell"/>
              <w:jc w:val="right"/>
            </w:pPr>
            <w:r>
              <w:rPr>
                <w:b/>
              </w:rPr>
              <w:t>589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C49B36" w14:textId="77777777" w:rsidR="00526E50" w:rsidRDefault="00954FD8">
            <w:pPr>
              <w:pStyle w:val="Tabellcell"/>
              <w:jc w:val="right"/>
            </w:pPr>
            <w:r>
              <w:rPr>
                <w:b/>
              </w:rPr>
              <w:t>-162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8310E1" w14:textId="77777777" w:rsidR="00526E50" w:rsidRDefault="00954FD8">
            <w:pPr>
              <w:pStyle w:val="Tabellcell"/>
              <w:jc w:val="right"/>
            </w:pPr>
            <w:r>
              <w:rPr>
                <w:b/>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2B4C4C" w14:textId="77777777" w:rsidR="00526E50" w:rsidRDefault="00954FD8">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1AE12B" w14:textId="77777777" w:rsidR="00526E50" w:rsidRDefault="00954FD8">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3CF521" w14:textId="77777777" w:rsidR="00526E50" w:rsidRDefault="00954FD8">
            <w:pPr>
              <w:pStyle w:val="Tabellcell"/>
              <w:jc w:val="right"/>
            </w:pPr>
            <w:r>
              <w:rPr>
                <w:b/>
              </w:rPr>
              <w:t>2 778</w:t>
            </w:r>
          </w:p>
        </w:tc>
      </w:tr>
    </w:tbl>
    <w:p w14:paraId="731297BA" w14:textId="77777777" w:rsidR="00526E50" w:rsidRDefault="00954FD8">
      <w:pPr>
        <w:pStyle w:val="Fotnot"/>
        <w:widowControl w:val="0"/>
      </w:pPr>
      <w:r>
        <w:t>Siffrorna i tabellen är angivna i tkr.</w:t>
      </w:r>
    </w:p>
    <w:p w14:paraId="2B53C1AB" w14:textId="77777777" w:rsidR="00526E50" w:rsidRDefault="00954FD8" w:rsidP="00F21494">
      <w:pPr>
        <w:pStyle w:val="Rubrik3"/>
        <w:numPr>
          <w:ilvl w:val="0"/>
          <w:numId w:val="0"/>
        </w:numPr>
      </w:pPr>
      <w:r>
        <w:t>Utfall till och med perioden</w:t>
      </w:r>
    </w:p>
    <w:p w14:paraId="473983C7" w14:textId="77777777" w:rsidR="00526E50" w:rsidRDefault="00954FD8">
      <w:pPr>
        <w:pStyle w:val="BodyText"/>
        <w:widowControl w:val="0"/>
      </w:pPr>
      <w:r>
        <w:t>Det ackumulerade resultatet per sista mars är 533 tkr, vilket kan jämföras med det budgeterade resultatet på - 56 tkr. Den positiva avvikelsen på 589 tkr beror på att intäkterna avviker positivt med 18 tkr samt att kostnaderna är 571 tkr lägre än budget. Avvikelsen på intäktssidan beror endast på periodisering och är inte en reell avvikelse som kommer påverka det faktiska utfallet under året. På kostnadssidan är det i första hand kostnaderna för kompetenshöjande insatser samt inköp av tjänster som inte har fallit ut enligt periodiserad budget, kostnaderna förväntas falla ut senare under året. Motsvarande siffror för 2024 var - 162 tkr i ackumulerat resultat mot budgeterade - 623 tkr, vilket gav en positiv avvikelse med 461 tkr mot resultatet.</w:t>
      </w:r>
    </w:p>
    <w:p w14:paraId="04814E27" w14:textId="77777777" w:rsidR="00526E50" w:rsidRDefault="00954FD8">
      <w:pPr>
        <w:pStyle w:val="BodyText"/>
        <w:widowControl w:val="0"/>
      </w:pPr>
      <w:r>
        <w:t>I jämförelse med samma period föregående år är årets kostnader 555 tkr lägre. Skillnaden mellan åren förklaras av lägre personalkostnader, som är en direkt följd av vakanta tjänster. Rekrytering pågår och tjänsterna förväntas kunna tillsättas under våren/sommaren 2025.</w:t>
      </w:r>
    </w:p>
    <w:p w14:paraId="6F9FCE03" w14:textId="77777777" w:rsidR="00526E50" w:rsidRDefault="00954FD8">
      <w:pPr>
        <w:pStyle w:val="BodyText"/>
        <w:widowControl w:val="0"/>
      </w:pPr>
      <w:r>
        <w:t> </w:t>
      </w:r>
    </w:p>
    <w:p w14:paraId="3AFE2912" w14:textId="77777777" w:rsidR="00526E50" w:rsidRDefault="00954FD8" w:rsidP="00F21494">
      <w:pPr>
        <w:pStyle w:val="Rubrik3"/>
        <w:numPr>
          <w:ilvl w:val="0"/>
          <w:numId w:val="0"/>
        </w:numPr>
      </w:pPr>
      <w:r>
        <w:t>Prognos</w:t>
      </w:r>
    </w:p>
    <w:p w14:paraId="437A76B3" w14:textId="77777777" w:rsidR="00526E50" w:rsidRDefault="00954FD8">
      <w:pPr>
        <w:pStyle w:val="BodyText"/>
        <w:widowControl w:val="0"/>
      </w:pPr>
      <w:r>
        <w:t>Stadsrevisionen lämnar en prognos som ligger i nivå med det budgeterade årsresultatet på 0 tkr.</w:t>
      </w:r>
    </w:p>
    <w:p w14:paraId="4C287EBA" w14:textId="77777777" w:rsidR="00526E50" w:rsidRDefault="00954FD8">
      <w:pPr>
        <w:pStyle w:val="BodyText"/>
        <w:widowControl w:val="0"/>
      </w:pPr>
      <w:r>
        <w:t> </w:t>
      </w:r>
    </w:p>
    <w:sectPr w:rsidR="00526E50" w:rsidSect="00927232">
      <w:footerReference w:type="default" r:id="rId8"/>
      <w:headerReference w:type="first" r:id="rId9"/>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A614" w14:textId="77777777" w:rsidR="00CA18E8" w:rsidRDefault="00CA18E8" w:rsidP="00FD14E4">
      <w:pPr>
        <w:spacing w:after="0" w:line="240" w:lineRule="auto"/>
      </w:pPr>
      <w:r>
        <w:separator/>
      </w:r>
    </w:p>
  </w:endnote>
  <w:endnote w:type="continuationSeparator" w:id="0">
    <w:p w14:paraId="4B508E0F"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2DC12114"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391D8A0A" w14:textId="781661C2" w:rsidR="00954FD8" w:rsidRPr="00C6776C" w:rsidRDefault="006F2D41" w:rsidP="00157707">
              <w:pPr>
                <w:pStyle w:val="Sidfot"/>
                <w:rPr>
                  <w:rFonts w:ascii="Arial" w:hAnsi="Arial" w:cs="Arial"/>
                  <w:sz w:val="18"/>
                  <w:szCs w:val="18"/>
                </w:rPr>
              </w:pPr>
              <w:r>
                <w:rPr>
                  <w:rFonts w:ascii="Arial" w:hAnsi="Arial" w:cs="Arial"/>
                  <w:sz w:val="18"/>
                  <w:szCs w:val="18"/>
                </w:rPr>
                <w:t>Delårsrapport mars 2025</w:t>
              </w:r>
            </w:p>
          </w:tc>
        </w:sdtContent>
      </w:sdt>
      <w:tc>
        <w:tcPr>
          <w:tcW w:w="1966" w:type="dxa"/>
        </w:tcPr>
        <w:p w14:paraId="3D457C5F" w14:textId="77777777" w:rsidR="00954FD8" w:rsidRPr="00C6776C" w:rsidRDefault="00954FD8"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6DE5E3E9"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EndPr/>
          <w:sdtContent>
            <w:p w14:paraId="651ECA90" w14:textId="77777777" w:rsidR="00954FD8" w:rsidRPr="00C6776C" w:rsidRDefault="00F21494"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694DEF65" w14:textId="77777777" w:rsidR="00954FD8" w:rsidRPr="00C6776C" w:rsidRDefault="00954FD8" w:rsidP="00157707">
          <w:pPr>
            <w:pStyle w:val="Sidfot"/>
            <w:rPr>
              <w:rFonts w:ascii="Arial" w:hAnsi="Arial" w:cs="Arial"/>
              <w:sz w:val="18"/>
              <w:szCs w:val="18"/>
            </w:rPr>
          </w:pPr>
        </w:p>
      </w:tc>
    </w:tr>
    <w:tr w:rsidR="00157707" w:rsidRPr="00C6776C" w14:paraId="73FF8026" w14:textId="77777777" w:rsidTr="00D61EFC">
      <w:tc>
        <w:tcPr>
          <w:tcW w:w="7106" w:type="dxa"/>
        </w:tcPr>
        <w:p w14:paraId="276542E7" w14:textId="77777777" w:rsidR="00954FD8" w:rsidRPr="00C6776C" w:rsidRDefault="00954FD8" w:rsidP="00157707">
          <w:pPr>
            <w:pStyle w:val="Sidfot"/>
            <w:rPr>
              <w:rFonts w:ascii="Arial" w:hAnsi="Arial" w:cs="Arial"/>
              <w:sz w:val="18"/>
              <w:szCs w:val="18"/>
            </w:rPr>
          </w:pPr>
        </w:p>
      </w:tc>
      <w:tc>
        <w:tcPr>
          <w:tcW w:w="1966" w:type="dxa"/>
        </w:tcPr>
        <w:p w14:paraId="72C46910" w14:textId="77777777" w:rsidR="00954FD8" w:rsidRPr="00C6776C" w:rsidRDefault="006F2D41"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954FD8" w:rsidRPr="00C6776C">
                <w:rPr>
                  <w:rFonts w:ascii="Arial" w:hAnsi="Arial" w:cs="Arial"/>
                  <w:sz w:val="18"/>
                  <w:szCs w:val="18"/>
                </w:rPr>
                <w:t xml:space="preserve">     </w:t>
              </w:r>
            </w:sdtContent>
          </w:sdt>
        </w:p>
      </w:tc>
    </w:tr>
  </w:tbl>
  <w:p w14:paraId="2BE41D07" w14:textId="77777777" w:rsidR="00954FD8" w:rsidRDefault="00954F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A116" w14:textId="77777777" w:rsidR="00CA18E8" w:rsidRDefault="00CA18E8" w:rsidP="00FD14E4">
      <w:pPr>
        <w:spacing w:after="0" w:line="240" w:lineRule="auto"/>
      </w:pPr>
      <w:r>
        <w:separator/>
      </w:r>
    </w:p>
  </w:footnote>
  <w:footnote w:type="continuationSeparator" w:id="0">
    <w:p w14:paraId="150D35B0" w14:textId="77777777"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394C10" w14:paraId="7A60B136" w14:textId="77777777" w:rsidTr="00D61EFC">
      <w:tc>
        <w:tcPr>
          <w:tcW w:w="5103" w:type="dxa"/>
          <w:tcBorders>
            <w:bottom w:val="nil"/>
          </w:tcBorders>
          <w:shd w:val="clear" w:color="auto" w:fill="auto"/>
          <w:vAlign w:val="center"/>
        </w:tcPr>
        <w:p w14:paraId="016858EF" w14:textId="77777777" w:rsidR="00954FD8" w:rsidRPr="00C6776C" w:rsidRDefault="00954FD8" w:rsidP="00394C10">
          <w:pPr>
            <w:pStyle w:val="Sidhuvud"/>
            <w:spacing w:after="100"/>
            <w:rPr>
              <w:rFonts w:ascii="Arial" w:hAnsi="Arial" w:cs="Arial"/>
              <w:bCs/>
              <w:sz w:val="24"/>
            </w:rPr>
          </w:pPr>
          <w:r w:rsidRPr="00C6776C">
            <w:rPr>
              <w:rFonts w:ascii="Arial" w:hAnsi="Arial" w:cs="Arial"/>
              <w:bCs/>
              <w:sz w:val="24"/>
            </w:rPr>
            <w:t>Stadsrevisionen</w:t>
          </w:r>
        </w:p>
      </w:tc>
      <w:tc>
        <w:tcPr>
          <w:tcW w:w="3969" w:type="dxa"/>
          <w:tcBorders>
            <w:bottom w:val="nil"/>
          </w:tcBorders>
          <w:shd w:val="clear" w:color="auto" w:fill="auto"/>
        </w:tcPr>
        <w:p w14:paraId="1B2876C2" w14:textId="77777777" w:rsidR="00954FD8" w:rsidRDefault="00954FD8" w:rsidP="00394C10">
          <w:pPr>
            <w:pStyle w:val="Sidhuvud"/>
            <w:spacing w:after="100"/>
            <w:jc w:val="right"/>
          </w:pPr>
          <w:r>
            <w:rPr>
              <w:noProof/>
              <w:lang w:eastAsia="sv-SE"/>
            </w:rPr>
            <w:drawing>
              <wp:inline distT="0" distB="0" distL="0" distR="0" wp14:anchorId="63D717E1" wp14:editId="4DBBF305">
                <wp:extent cx="1441706" cy="481584"/>
                <wp:effectExtent l="0" t="0" r="8255" b="0"/>
                <wp:docPr id="20" name="Bildobjekt 20"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394C10" w14:paraId="33435148" w14:textId="77777777" w:rsidTr="00D61EFC">
      <w:tc>
        <w:tcPr>
          <w:tcW w:w="5103" w:type="dxa"/>
          <w:tcBorders>
            <w:top w:val="nil"/>
            <w:bottom w:val="single" w:sz="4" w:space="0" w:color="auto"/>
          </w:tcBorders>
          <w:shd w:val="clear" w:color="auto" w:fill="auto"/>
        </w:tcPr>
        <w:p w14:paraId="6A7B6DEC" w14:textId="77777777" w:rsidR="00954FD8" w:rsidRDefault="00954FD8" w:rsidP="00394C10">
          <w:pPr>
            <w:pStyle w:val="Sidhuvud"/>
            <w:spacing w:after="100"/>
          </w:pPr>
        </w:p>
      </w:tc>
      <w:tc>
        <w:tcPr>
          <w:tcW w:w="3969" w:type="dxa"/>
          <w:tcBorders>
            <w:bottom w:val="single" w:sz="4" w:space="0" w:color="auto"/>
          </w:tcBorders>
          <w:shd w:val="clear" w:color="auto" w:fill="auto"/>
        </w:tcPr>
        <w:p w14:paraId="1C34DE5D" w14:textId="77777777" w:rsidR="00954FD8" w:rsidRDefault="00954FD8" w:rsidP="00394C10">
          <w:pPr>
            <w:pStyle w:val="Sidhuvud"/>
            <w:spacing w:after="100"/>
            <w:jc w:val="right"/>
          </w:pPr>
        </w:p>
      </w:tc>
    </w:tr>
  </w:tbl>
  <w:p w14:paraId="3891F32D" w14:textId="77777777" w:rsidR="00954FD8" w:rsidRPr="00394C10" w:rsidRDefault="00954FD8"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1393431086">
    <w:abstractNumId w:val="2"/>
  </w:num>
  <w:num w:numId="2" w16cid:durableId="56248616">
    <w:abstractNumId w:val="2"/>
  </w:num>
  <w:num w:numId="3" w16cid:durableId="715927981">
    <w:abstractNumId w:val="2"/>
  </w:num>
  <w:num w:numId="4" w16cid:durableId="706562496">
    <w:abstractNumId w:val="2"/>
  </w:num>
  <w:num w:numId="5" w16cid:durableId="1625232062">
    <w:abstractNumId w:val="2"/>
  </w:num>
  <w:num w:numId="6" w16cid:durableId="499153395">
    <w:abstractNumId w:val="2"/>
  </w:num>
  <w:num w:numId="7" w16cid:durableId="1176305767">
    <w:abstractNumId w:val="2"/>
  </w:num>
  <w:num w:numId="8" w16cid:durableId="1709521874">
    <w:abstractNumId w:val="2"/>
  </w:num>
  <w:num w:numId="9" w16cid:durableId="1402169034">
    <w:abstractNumId w:val="2"/>
  </w:num>
  <w:num w:numId="10" w16cid:durableId="1047071804">
    <w:abstractNumId w:val="2"/>
  </w:num>
  <w:num w:numId="11" w16cid:durableId="1032608584">
    <w:abstractNumId w:val="2"/>
  </w:num>
  <w:num w:numId="12" w16cid:durableId="123741379">
    <w:abstractNumId w:val="2"/>
  </w:num>
  <w:num w:numId="13" w16cid:durableId="954022855">
    <w:abstractNumId w:val="2"/>
  </w:num>
  <w:num w:numId="14" w16cid:durableId="2021933321">
    <w:abstractNumId w:val="2"/>
  </w:num>
  <w:num w:numId="15" w16cid:durableId="1341279991">
    <w:abstractNumId w:val="2"/>
  </w:num>
  <w:num w:numId="16" w16cid:durableId="1668753944">
    <w:abstractNumId w:val="2"/>
  </w:num>
  <w:num w:numId="17" w16cid:durableId="1524394060">
    <w:abstractNumId w:val="2"/>
  </w:num>
  <w:num w:numId="18" w16cid:durableId="755368404">
    <w:abstractNumId w:val="2"/>
  </w:num>
  <w:num w:numId="19" w16cid:durableId="1762675122">
    <w:abstractNumId w:val="1"/>
  </w:num>
  <w:num w:numId="20" w16cid:durableId="205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34936"/>
    <w:rsid w:val="004850B1"/>
    <w:rsid w:val="004A08E3"/>
    <w:rsid w:val="00503904"/>
    <w:rsid w:val="00514099"/>
    <w:rsid w:val="00526E50"/>
    <w:rsid w:val="0057086E"/>
    <w:rsid w:val="005A4EDC"/>
    <w:rsid w:val="005E7669"/>
    <w:rsid w:val="00623030"/>
    <w:rsid w:val="00656BC9"/>
    <w:rsid w:val="006B74B7"/>
    <w:rsid w:val="006F2D41"/>
    <w:rsid w:val="00751C70"/>
    <w:rsid w:val="007A46F9"/>
    <w:rsid w:val="007A6F6A"/>
    <w:rsid w:val="007C438A"/>
    <w:rsid w:val="007D03BE"/>
    <w:rsid w:val="007F0C07"/>
    <w:rsid w:val="00803EA2"/>
    <w:rsid w:val="008277D0"/>
    <w:rsid w:val="008A28D0"/>
    <w:rsid w:val="008E1B36"/>
    <w:rsid w:val="00932BB2"/>
    <w:rsid w:val="00954FD8"/>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07522"/>
    <w:rsid w:val="00C23D5C"/>
    <w:rsid w:val="00C91C90"/>
    <w:rsid w:val="00CA18E8"/>
    <w:rsid w:val="00CA1E51"/>
    <w:rsid w:val="00CB0C4B"/>
    <w:rsid w:val="00CB7232"/>
    <w:rsid w:val="00D33F10"/>
    <w:rsid w:val="00D81E48"/>
    <w:rsid w:val="00DF7A9B"/>
    <w:rsid w:val="00E5254C"/>
    <w:rsid w:val="00E77475"/>
    <w:rsid w:val="00EF1FBF"/>
    <w:rsid w:val="00F21494"/>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E23AD"/>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2AFE-52A3-4335-B0B9-6D485A80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3538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mars 2025</dc:title>
  <dc:subject/>
  <dc:creator>Stratsys</dc:creator>
  <cp:keywords/>
  <dc:description/>
  <cp:lastModifiedBy>Helene Hjalmarsson</cp:lastModifiedBy>
  <cp:revision>3</cp:revision>
  <dcterms:created xsi:type="dcterms:W3CDTF">2025-04-11T11:21:00Z</dcterms:created>
  <dcterms:modified xsi:type="dcterms:W3CDTF">2025-04-15T07:18:00Z</dcterms:modified>
</cp:coreProperties>
</file>